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E36C1" w14:textId="52A57B8D" w:rsidR="00950088" w:rsidRDefault="00000000">
      <w:pPr>
        <w:spacing w:line="360" w:lineRule="auto"/>
        <w:rPr>
          <w:rFonts w:ascii="Times New Roman" w:hAnsi="Times New Roman" w:cs="Times New Roman"/>
          <w:szCs w:val="21"/>
        </w:rPr>
      </w:pPr>
      <w:bookmarkStart w:id="0" w:name="_Hlk134537076"/>
      <w:r>
        <w:rPr>
          <w:rFonts w:ascii="Times New Roman" w:hAnsi="Times New Roman" w:cs="Times New Roman" w:hint="eastAsia"/>
          <w:szCs w:val="21"/>
        </w:rPr>
        <w:t xml:space="preserve">Analysis of </w:t>
      </w:r>
      <w:r>
        <w:rPr>
          <w:rFonts w:ascii="Times New Roman" w:hAnsi="Times New Roman" w:cs="Times New Roman"/>
          <w:szCs w:val="21"/>
        </w:rPr>
        <w:t xml:space="preserve">the </w:t>
      </w:r>
      <w:r>
        <w:rPr>
          <w:rFonts w:ascii="Times New Roman" w:hAnsi="Times New Roman" w:cs="Times New Roman" w:hint="eastAsia"/>
          <w:szCs w:val="21"/>
        </w:rPr>
        <w:t>acute toxicity effect</w:t>
      </w:r>
      <w:r>
        <w:rPr>
          <w:rFonts w:ascii="Times New Roman" w:hAnsi="Times New Roman" w:cs="Times New Roman"/>
          <w:szCs w:val="21"/>
        </w:rPr>
        <w:t>s</w:t>
      </w:r>
      <w:r>
        <w:rPr>
          <w:rFonts w:ascii="Times New Roman" w:hAnsi="Times New Roman" w:cs="Times New Roman" w:hint="eastAsia"/>
          <w:szCs w:val="21"/>
        </w:rPr>
        <w:t xml:space="preserve"> of bifenthrin on </w:t>
      </w:r>
      <w:r>
        <w:rPr>
          <w:rFonts w:ascii="Times New Roman" w:hAnsi="Times New Roman" w:cs="Times New Roman"/>
          <w:szCs w:val="21"/>
        </w:rPr>
        <w:t xml:space="preserve">Chinese </w:t>
      </w:r>
      <w:r>
        <w:rPr>
          <w:rFonts w:ascii="Times New Roman" w:hAnsi="Times New Roman" w:cs="Times New Roman" w:hint="eastAsia"/>
          <w:szCs w:val="21"/>
        </w:rPr>
        <w:t>giant salamander</w:t>
      </w:r>
      <w:r w:rsidR="0074717E">
        <w:rPr>
          <w:rFonts w:ascii="Times New Roman" w:hAnsi="Times New Roman" w:cs="Times New Roman"/>
          <w:szCs w:val="21"/>
        </w:rPr>
        <w:t xml:space="preserve"> (</w:t>
      </w:r>
      <w:r w:rsidR="0074717E" w:rsidRPr="005B281A">
        <w:rPr>
          <w:rFonts w:ascii="Times New Roman" w:hAnsi="Times New Roman" w:cs="Times New Roman" w:hint="eastAsia"/>
          <w:i/>
          <w:iCs/>
          <w:szCs w:val="21"/>
        </w:rPr>
        <w:t xml:space="preserve">Andrias </w:t>
      </w:r>
      <w:proofErr w:type="spellStart"/>
      <w:r w:rsidR="0074717E" w:rsidRPr="005B281A">
        <w:rPr>
          <w:rFonts w:ascii="Times New Roman" w:hAnsi="Times New Roman" w:cs="Times New Roman" w:hint="eastAsia"/>
          <w:i/>
          <w:iCs/>
          <w:szCs w:val="21"/>
        </w:rPr>
        <w:t>davidianus</w:t>
      </w:r>
      <w:proofErr w:type="spellEnd"/>
      <w:r w:rsidR="0074717E">
        <w:rPr>
          <w:rFonts w:ascii="Times New Roman" w:hAnsi="Times New Roman" w:cs="Times New Roman"/>
          <w:szCs w:val="21"/>
        </w:rPr>
        <w:t>)</w:t>
      </w:r>
      <w:r>
        <w:rPr>
          <w:rFonts w:ascii="Times New Roman" w:hAnsi="Times New Roman" w:cs="Times New Roman" w:hint="eastAsia"/>
          <w:szCs w:val="21"/>
        </w:rPr>
        <w:t xml:space="preserve"> larvae</w:t>
      </w:r>
      <w:bookmarkEnd w:id="0"/>
    </w:p>
    <w:p w14:paraId="36B49AD4" w14:textId="77777777" w:rsidR="00950088" w:rsidRDefault="00950088">
      <w:pPr>
        <w:spacing w:line="360" w:lineRule="auto"/>
        <w:rPr>
          <w:rFonts w:ascii="Times New Roman" w:hAnsi="Times New Roman" w:cs="Times New Roman"/>
          <w:b/>
          <w:bCs/>
          <w:szCs w:val="21"/>
        </w:rPr>
      </w:pPr>
    </w:p>
    <w:p w14:paraId="4C7D27E4" w14:textId="3A92E82E" w:rsidR="003F0B37" w:rsidRPr="00D93C7C" w:rsidRDefault="003F0B37" w:rsidP="003F0B37">
      <w:pPr>
        <w:spacing w:line="360" w:lineRule="auto"/>
        <w:rPr>
          <w:rFonts w:ascii="Times New Roman" w:hAnsi="Times New Roman" w:cs="Times New Roman"/>
          <w:szCs w:val="21"/>
        </w:rPr>
      </w:pPr>
      <w:r w:rsidRPr="0041574A">
        <w:rPr>
          <w:rFonts w:ascii="Times New Roman" w:hAnsi="Times New Roman" w:cs="Times New Roman"/>
          <w:szCs w:val="21"/>
        </w:rPr>
        <w:t>Jing Song</w:t>
      </w:r>
      <w:r w:rsidRPr="00D93C7C">
        <w:rPr>
          <w:rFonts w:ascii="Times New Roman" w:hAnsi="Times New Roman" w:cs="Times New Roman"/>
          <w:szCs w:val="21"/>
        </w:rPr>
        <w:t xml:space="preserve"> </w:t>
      </w:r>
      <w:proofErr w:type="spellStart"/>
      <w:r w:rsidRPr="00D93C7C">
        <w:rPr>
          <w:rFonts w:ascii="Times New Roman" w:hAnsi="Times New Roman" w:cs="Times New Roman"/>
          <w:szCs w:val="21"/>
          <w:vertAlign w:val="superscript"/>
        </w:rPr>
        <w:t>a</w:t>
      </w:r>
      <w:r w:rsidRPr="0041574A">
        <w:rPr>
          <w:rFonts w:ascii="Times New Roman" w:hAnsi="Times New Roman" w:cs="Times New Roman"/>
          <w:szCs w:val="21"/>
          <w:vertAlign w:val="superscript"/>
        </w:rPr>
        <w:t>,</w:t>
      </w:r>
      <w:r w:rsidRPr="00D93C7C">
        <w:rPr>
          <w:rFonts w:ascii="Times New Roman" w:hAnsi="Times New Roman" w:cs="Times New Roman"/>
          <w:szCs w:val="21"/>
          <w:vertAlign w:val="superscript"/>
        </w:rPr>
        <w:t>b</w:t>
      </w:r>
      <w:proofErr w:type="spellEnd"/>
      <w:r w:rsidRPr="0041574A">
        <w:rPr>
          <w:rFonts w:ascii="Times New Roman" w:hAnsi="Times New Roman" w:cs="Times New Roman"/>
          <w:szCs w:val="21"/>
        </w:rPr>
        <w:t>, Fengyun Huang</w:t>
      </w:r>
      <w:r w:rsidRPr="00D93C7C">
        <w:rPr>
          <w:rFonts w:ascii="Times New Roman" w:hAnsi="Times New Roman" w:cs="Times New Roman"/>
          <w:szCs w:val="21"/>
        </w:rPr>
        <w:t xml:space="preserve"> </w:t>
      </w:r>
      <w:proofErr w:type="spellStart"/>
      <w:r w:rsidRPr="00D93C7C">
        <w:rPr>
          <w:rFonts w:ascii="Times New Roman" w:hAnsi="Times New Roman" w:cs="Times New Roman"/>
          <w:szCs w:val="21"/>
          <w:vertAlign w:val="superscript"/>
        </w:rPr>
        <w:t>a</w:t>
      </w:r>
      <w:r w:rsidRPr="0041574A">
        <w:rPr>
          <w:rFonts w:ascii="Times New Roman" w:hAnsi="Times New Roman" w:cs="Times New Roman"/>
          <w:szCs w:val="21"/>
          <w:vertAlign w:val="superscript"/>
        </w:rPr>
        <w:t>,</w:t>
      </w:r>
      <w:r w:rsidRPr="00D93C7C">
        <w:rPr>
          <w:rFonts w:ascii="Times New Roman" w:hAnsi="Times New Roman" w:cs="Times New Roman"/>
          <w:szCs w:val="21"/>
          <w:vertAlign w:val="superscript"/>
        </w:rPr>
        <w:t>b</w:t>
      </w:r>
      <w:proofErr w:type="spellEnd"/>
      <w:r w:rsidRPr="0041574A">
        <w:rPr>
          <w:rFonts w:ascii="Times New Roman" w:hAnsi="Times New Roman" w:cs="Times New Roman"/>
          <w:szCs w:val="21"/>
        </w:rPr>
        <w:t>, Kun Ma</w:t>
      </w:r>
      <w:r w:rsidRPr="00D93C7C">
        <w:rPr>
          <w:rFonts w:ascii="Times New Roman" w:hAnsi="Times New Roman" w:cs="Times New Roman"/>
          <w:szCs w:val="21"/>
        </w:rPr>
        <w:t xml:space="preserve"> </w:t>
      </w:r>
      <w:proofErr w:type="spellStart"/>
      <w:r w:rsidRPr="00D93C7C">
        <w:rPr>
          <w:rFonts w:ascii="Times New Roman" w:hAnsi="Times New Roman" w:cs="Times New Roman"/>
          <w:szCs w:val="21"/>
          <w:vertAlign w:val="superscript"/>
        </w:rPr>
        <w:t>a</w:t>
      </w:r>
      <w:r w:rsidRPr="0041574A">
        <w:rPr>
          <w:rFonts w:ascii="Times New Roman" w:hAnsi="Times New Roman" w:cs="Times New Roman"/>
          <w:szCs w:val="21"/>
          <w:vertAlign w:val="superscript"/>
        </w:rPr>
        <w:t>,</w:t>
      </w:r>
      <w:r w:rsidRPr="00D93C7C">
        <w:rPr>
          <w:rFonts w:ascii="Times New Roman" w:hAnsi="Times New Roman" w:cs="Times New Roman"/>
          <w:szCs w:val="21"/>
          <w:vertAlign w:val="superscript"/>
        </w:rPr>
        <w:t>b</w:t>
      </w:r>
      <w:proofErr w:type="spellEnd"/>
      <w:r w:rsidRPr="0041574A">
        <w:rPr>
          <w:rFonts w:ascii="Times New Roman" w:hAnsi="Times New Roman" w:cs="Times New Roman"/>
          <w:szCs w:val="21"/>
        </w:rPr>
        <w:t>,</w:t>
      </w:r>
      <w:r w:rsidR="00BB5AF3">
        <w:rPr>
          <w:rFonts w:ascii="Times New Roman" w:hAnsi="Times New Roman" w:cs="Times New Roman"/>
          <w:szCs w:val="21"/>
        </w:rPr>
        <w:t xml:space="preserve"> </w:t>
      </w:r>
      <w:r w:rsidRPr="0041574A">
        <w:rPr>
          <w:rFonts w:ascii="Times New Roman" w:hAnsi="Times New Roman" w:cs="Times New Roman"/>
          <w:szCs w:val="21"/>
        </w:rPr>
        <w:t>Kai Tan</w:t>
      </w:r>
      <w:r w:rsidRPr="00D93C7C">
        <w:rPr>
          <w:rFonts w:ascii="Times New Roman" w:hAnsi="Times New Roman" w:cs="Times New Roman"/>
          <w:szCs w:val="21"/>
        </w:rPr>
        <w:t xml:space="preserve"> </w:t>
      </w:r>
      <w:proofErr w:type="spellStart"/>
      <w:r w:rsidRPr="00D93C7C">
        <w:rPr>
          <w:rFonts w:ascii="Times New Roman" w:hAnsi="Times New Roman" w:cs="Times New Roman"/>
          <w:szCs w:val="21"/>
          <w:vertAlign w:val="superscript"/>
        </w:rPr>
        <w:t>a</w:t>
      </w:r>
      <w:r w:rsidRPr="0041574A">
        <w:rPr>
          <w:rFonts w:ascii="Times New Roman" w:hAnsi="Times New Roman" w:cs="Times New Roman"/>
          <w:szCs w:val="21"/>
          <w:vertAlign w:val="superscript"/>
        </w:rPr>
        <w:t>,</w:t>
      </w:r>
      <w:r w:rsidRPr="00D93C7C">
        <w:rPr>
          <w:rFonts w:ascii="Times New Roman" w:hAnsi="Times New Roman" w:cs="Times New Roman"/>
          <w:szCs w:val="21"/>
          <w:vertAlign w:val="superscript"/>
        </w:rPr>
        <w:t>b</w:t>
      </w:r>
      <w:proofErr w:type="spellEnd"/>
      <w:r w:rsidR="007746E9">
        <w:rPr>
          <w:rFonts w:ascii="Times New Roman" w:hAnsi="Times New Roman" w:cs="Times New Roman" w:hint="eastAsia"/>
          <w:szCs w:val="21"/>
        </w:rPr>
        <w:t>,</w:t>
      </w:r>
      <w:r w:rsidR="007746E9">
        <w:rPr>
          <w:rFonts w:ascii="Times New Roman" w:hAnsi="Times New Roman" w:cs="Times New Roman"/>
          <w:szCs w:val="21"/>
        </w:rPr>
        <w:t xml:space="preserve"> </w:t>
      </w:r>
      <w:r w:rsidR="0023445C">
        <w:rPr>
          <w:rFonts w:ascii="Times New Roman" w:hAnsi="Times New Roman" w:cs="Times New Roman" w:hint="eastAsia"/>
          <w:szCs w:val="21"/>
        </w:rPr>
        <w:t>D</w:t>
      </w:r>
      <w:r w:rsidR="0023445C">
        <w:rPr>
          <w:rFonts w:ascii="Times New Roman" w:hAnsi="Times New Roman" w:cs="Times New Roman"/>
          <w:szCs w:val="21"/>
        </w:rPr>
        <w:t xml:space="preserve">an </w:t>
      </w:r>
      <w:proofErr w:type="spellStart"/>
      <w:r w:rsidR="0023445C">
        <w:rPr>
          <w:rFonts w:ascii="Times New Roman" w:hAnsi="Times New Roman" w:cs="Times New Roman"/>
          <w:szCs w:val="21"/>
        </w:rPr>
        <w:t>Lv</w:t>
      </w:r>
      <w:proofErr w:type="spellEnd"/>
      <w:r w:rsidR="0023445C">
        <w:rPr>
          <w:rFonts w:ascii="Times New Roman" w:hAnsi="Times New Roman" w:cs="Times New Roman"/>
          <w:szCs w:val="21"/>
        </w:rPr>
        <w:t xml:space="preserve"> </w:t>
      </w:r>
      <w:r w:rsidR="0023445C" w:rsidRPr="0023445C">
        <w:rPr>
          <w:rFonts w:ascii="Times New Roman" w:hAnsi="Times New Roman" w:cs="Times New Roman"/>
          <w:szCs w:val="21"/>
          <w:vertAlign w:val="superscript"/>
        </w:rPr>
        <w:t>a</w:t>
      </w:r>
      <w:r w:rsidR="0023445C">
        <w:rPr>
          <w:rFonts w:ascii="Times New Roman" w:hAnsi="Times New Roman" w:cs="Times New Roman"/>
          <w:szCs w:val="21"/>
        </w:rPr>
        <w:t>,</w:t>
      </w:r>
      <w:r w:rsidR="00BB5AF3" w:rsidRPr="00BB5AF3">
        <w:rPr>
          <w:rFonts w:ascii="Times New Roman" w:hAnsi="Times New Roman" w:cs="Times New Roman"/>
          <w:szCs w:val="21"/>
        </w:rPr>
        <w:t xml:space="preserve"> </w:t>
      </w:r>
      <w:r w:rsidR="0008445D">
        <w:rPr>
          <w:rFonts w:ascii="Times New Roman" w:hAnsi="Times New Roman" w:cs="Times New Roman" w:hint="eastAsia"/>
          <w:szCs w:val="21"/>
        </w:rPr>
        <w:t>K</w:t>
      </w:r>
      <w:r w:rsidR="0008445D">
        <w:rPr>
          <w:rFonts w:ascii="Times New Roman" w:hAnsi="Times New Roman" w:cs="Times New Roman"/>
          <w:szCs w:val="21"/>
        </w:rPr>
        <w:t xml:space="preserve">iyoshi </w:t>
      </w:r>
      <w:proofErr w:type="spellStart"/>
      <w:r w:rsidR="0008445D">
        <w:rPr>
          <w:rFonts w:ascii="Times New Roman" w:hAnsi="Times New Roman" w:cs="Times New Roman"/>
          <w:szCs w:val="21"/>
        </w:rPr>
        <w:t>Soyano</w:t>
      </w:r>
      <w:proofErr w:type="spellEnd"/>
      <w:r w:rsidR="0008445D">
        <w:rPr>
          <w:rFonts w:ascii="Times New Roman" w:hAnsi="Times New Roman" w:cs="Times New Roman"/>
          <w:szCs w:val="21"/>
        </w:rPr>
        <w:t xml:space="preserve"> </w:t>
      </w:r>
      <w:proofErr w:type="spellStart"/>
      <w:r w:rsidR="0008445D" w:rsidRPr="0008445D">
        <w:rPr>
          <w:rFonts w:ascii="Times New Roman" w:hAnsi="Times New Roman" w:cs="Times New Roman"/>
          <w:szCs w:val="21"/>
          <w:vertAlign w:val="superscript"/>
        </w:rPr>
        <w:t>c</w:t>
      </w:r>
      <w:r w:rsidR="00D91912">
        <w:rPr>
          <w:rFonts w:ascii="Times New Roman" w:hAnsi="Times New Roman" w:cs="Times New Roman"/>
          <w:szCs w:val="21"/>
          <w:vertAlign w:val="superscript"/>
        </w:rPr>
        <w:t>,d</w:t>
      </w:r>
      <w:proofErr w:type="spellEnd"/>
      <w:r w:rsidR="00401C7B">
        <w:rPr>
          <w:rFonts w:ascii="Times New Roman" w:hAnsi="Times New Roman" w:cs="Times New Roman"/>
          <w:szCs w:val="21"/>
        </w:rPr>
        <w:t>,</w:t>
      </w:r>
      <w:r w:rsidR="00401C7B" w:rsidRPr="00401C7B">
        <w:rPr>
          <w:rFonts w:ascii="Times New Roman" w:hAnsi="Times New Roman" w:cs="Times New Roman"/>
          <w:szCs w:val="21"/>
        </w:rPr>
        <w:t xml:space="preserve"> </w:t>
      </w:r>
      <w:r w:rsidR="00401C7B" w:rsidRPr="0041574A">
        <w:rPr>
          <w:rFonts w:ascii="Times New Roman" w:hAnsi="Times New Roman" w:cs="Times New Roman"/>
          <w:szCs w:val="21"/>
        </w:rPr>
        <w:t>Kai Zhao</w:t>
      </w:r>
      <w:r w:rsidR="00401C7B" w:rsidRPr="00D93C7C">
        <w:rPr>
          <w:rFonts w:ascii="Times New Roman" w:hAnsi="Times New Roman" w:cs="Times New Roman"/>
          <w:szCs w:val="21"/>
        </w:rPr>
        <w:t xml:space="preserve"> </w:t>
      </w:r>
      <w:proofErr w:type="spellStart"/>
      <w:r w:rsidR="00401C7B" w:rsidRPr="00D93C7C">
        <w:rPr>
          <w:rFonts w:ascii="Times New Roman" w:hAnsi="Times New Roman" w:cs="Times New Roman"/>
          <w:szCs w:val="21"/>
          <w:vertAlign w:val="superscript"/>
        </w:rPr>
        <w:t>a</w:t>
      </w:r>
      <w:r w:rsidR="00401C7B" w:rsidRPr="0041574A">
        <w:rPr>
          <w:rFonts w:ascii="Times New Roman" w:hAnsi="Times New Roman" w:cs="Times New Roman"/>
          <w:szCs w:val="21"/>
          <w:vertAlign w:val="superscript"/>
        </w:rPr>
        <w:t>,</w:t>
      </w:r>
      <w:r w:rsidR="00401C7B" w:rsidRPr="00D93C7C">
        <w:rPr>
          <w:rFonts w:ascii="Times New Roman" w:hAnsi="Times New Roman" w:cs="Times New Roman"/>
          <w:szCs w:val="21"/>
          <w:vertAlign w:val="superscript"/>
        </w:rPr>
        <w:t>b</w:t>
      </w:r>
      <w:proofErr w:type="spellEnd"/>
      <w:r w:rsidR="00401C7B">
        <w:rPr>
          <w:rFonts w:ascii="Times New Roman" w:hAnsi="Times New Roman" w:cs="Times New Roman"/>
          <w:szCs w:val="21"/>
          <w:vertAlign w:val="superscript"/>
        </w:rPr>
        <w:t>,</w:t>
      </w:r>
      <w:r w:rsidR="00401C7B" w:rsidRPr="0041574A">
        <w:rPr>
          <w:rFonts w:ascii="Times New Roman" w:hAnsi="Times New Roman" w:cs="Times New Roman"/>
          <w:szCs w:val="21"/>
        </w:rPr>
        <w:t>*</w:t>
      </w:r>
    </w:p>
    <w:p w14:paraId="787036DB" w14:textId="77777777" w:rsidR="003F0B37" w:rsidRPr="00175380" w:rsidRDefault="003F0B37" w:rsidP="003F0B37">
      <w:pPr>
        <w:spacing w:line="360" w:lineRule="auto"/>
        <w:rPr>
          <w:rFonts w:ascii="Times New Roman" w:hAnsi="Times New Roman" w:cs="Times New Roman"/>
          <w:szCs w:val="21"/>
        </w:rPr>
      </w:pPr>
      <w:r w:rsidRPr="00D93C7C">
        <w:rPr>
          <w:rFonts w:ascii="Times New Roman" w:hAnsi="Times New Roman" w:cs="Times New Roman"/>
          <w:i/>
          <w:iCs/>
          <w:szCs w:val="21"/>
        </w:rPr>
        <w:t>a</w:t>
      </w:r>
      <w:r w:rsidRPr="00175380">
        <w:rPr>
          <w:rFonts w:ascii="Times New Roman" w:hAnsi="Times New Roman" w:cs="Times New Roman"/>
          <w:i/>
          <w:iCs/>
          <w:szCs w:val="21"/>
        </w:rPr>
        <w:t>. College of Life Science</w:t>
      </w:r>
      <w:r w:rsidRPr="00175380">
        <w:rPr>
          <w:rFonts w:ascii="Times New Roman" w:hAnsi="Times New Roman" w:cs="Times New Roman"/>
          <w:i/>
          <w:iCs/>
          <w:szCs w:val="21"/>
        </w:rPr>
        <w:t>，</w:t>
      </w:r>
      <w:proofErr w:type="spellStart"/>
      <w:r w:rsidRPr="00175380">
        <w:rPr>
          <w:rFonts w:ascii="Times New Roman" w:hAnsi="Times New Roman" w:cs="Times New Roman"/>
          <w:i/>
          <w:iCs/>
          <w:szCs w:val="21"/>
        </w:rPr>
        <w:t>Anqing</w:t>
      </w:r>
      <w:proofErr w:type="spellEnd"/>
      <w:r w:rsidRPr="00175380">
        <w:rPr>
          <w:rFonts w:ascii="Times New Roman" w:hAnsi="Times New Roman" w:cs="Times New Roman"/>
          <w:i/>
          <w:iCs/>
          <w:szCs w:val="21"/>
        </w:rPr>
        <w:t xml:space="preserve"> Normal University</w:t>
      </w:r>
      <w:r w:rsidRPr="00175380">
        <w:rPr>
          <w:rFonts w:ascii="Times New Roman" w:hAnsi="Times New Roman" w:cs="Times New Roman"/>
          <w:i/>
          <w:iCs/>
          <w:szCs w:val="21"/>
        </w:rPr>
        <w:t>，</w:t>
      </w:r>
      <w:proofErr w:type="spellStart"/>
      <w:r w:rsidRPr="00175380">
        <w:rPr>
          <w:rFonts w:ascii="Times New Roman" w:hAnsi="Times New Roman" w:cs="Times New Roman"/>
          <w:i/>
          <w:iCs/>
          <w:szCs w:val="21"/>
        </w:rPr>
        <w:t>Anqing</w:t>
      </w:r>
      <w:proofErr w:type="spellEnd"/>
      <w:r w:rsidRPr="00175380">
        <w:rPr>
          <w:rFonts w:ascii="Times New Roman" w:hAnsi="Times New Roman" w:cs="Times New Roman"/>
          <w:i/>
          <w:iCs/>
          <w:szCs w:val="21"/>
        </w:rPr>
        <w:t xml:space="preserve"> 246133</w:t>
      </w:r>
      <w:r w:rsidRPr="00175380">
        <w:rPr>
          <w:rFonts w:ascii="Times New Roman" w:hAnsi="Times New Roman" w:cs="Times New Roman"/>
          <w:i/>
          <w:iCs/>
          <w:szCs w:val="21"/>
        </w:rPr>
        <w:t>，</w:t>
      </w:r>
      <w:r w:rsidRPr="00175380">
        <w:rPr>
          <w:rFonts w:ascii="Times New Roman" w:hAnsi="Times New Roman" w:cs="Times New Roman"/>
          <w:i/>
          <w:iCs/>
          <w:szCs w:val="21"/>
        </w:rPr>
        <w:t>Anhui</w:t>
      </w:r>
      <w:r w:rsidRPr="00175380">
        <w:rPr>
          <w:rFonts w:ascii="Times New Roman" w:hAnsi="Times New Roman" w:cs="Times New Roman"/>
          <w:i/>
          <w:iCs/>
          <w:szCs w:val="21"/>
        </w:rPr>
        <w:t>，</w:t>
      </w:r>
      <w:r w:rsidRPr="00175380">
        <w:rPr>
          <w:rFonts w:ascii="Times New Roman" w:hAnsi="Times New Roman" w:cs="Times New Roman"/>
          <w:i/>
          <w:iCs/>
          <w:szCs w:val="21"/>
        </w:rPr>
        <w:t>China</w:t>
      </w:r>
    </w:p>
    <w:p w14:paraId="03F57862" w14:textId="77777777" w:rsidR="003F0B37" w:rsidRDefault="003F0B37" w:rsidP="003F0B37">
      <w:pPr>
        <w:spacing w:line="360" w:lineRule="auto"/>
        <w:rPr>
          <w:rFonts w:ascii="Times New Roman" w:hAnsi="Times New Roman" w:cs="Times New Roman"/>
          <w:i/>
          <w:iCs/>
          <w:szCs w:val="21"/>
        </w:rPr>
      </w:pPr>
      <w:r w:rsidRPr="00D93C7C">
        <w:rPr>
          <w:rFonts w:ascii="Times New Roman" w:hAnsi="Times New Roman" w:cs="Times New Roman"/>
          <w:i/>
          <w:iCs/>
          <w:szCs w:val="21"/>
        </w:rPr>
        <w:t>b</w:t>
      </w:r>
      <w:r w:rsidRPr="00175380">
        <w:rPr>
          <w:rFonts w:ascii="Times New Roman" w:hAnsi="Times New Roman" w:cs="Times New Roman"/>
          <w:i/>
          <w:iCs/>
          <w:szCs w:val="21"/>
        </w:rPr>
        <w:t>.</w:t>
      </w:r>
      <w:r w:rsidRPr="00D93C7C">
        <w:rPr>
          <w:rFonts w:ascii="Times New Roman" w:hAnsi="Times New Roman" w:cs="Times New Roman"/>
          <w:i/>
          <w:iCs/>
          <w:szCs w:val="21"/>
        </w:rPr>
        <w:t xml:space="preserve"> </w:t>
      </w:r>
      <w:r w:rsidRPr="00175380">
        <w:rPr>
          <w:rFonts w:ascii="Times New Roman" w:hAnsi="Times New Roman" w:cs="Times New Roman"/>
          <w:i/>
          <w:iCs/>
          <w:szCs w:val="21"/>
        </w:rPr>
        <w:t xml:space="preserve">The Belt and Road Model International Science and Technology Cooperation Base for Biodiversity Conservation and Utilization in Basins of Anhui Province, </w:t>
      </w:r>
      <w:bookmarkStart w:id="1" w:name="OLE_LINK5"/>
      <w:proofErr w:type="spellStart"/>
      <w:r w:rsidRPr="00175380">
        <w:rPr>
          <w:rFonts w:ascii="Times New Roman" w:hAnsi="Times New Roman" w:cs="Times New Roman"/>
          <w:i/>
          <w:iCs/>
          <w:szCs w:val="21"/>
        </w:rPr>
        <w:t>Anqing</w:t>
      </w:r>
      <w:proofErr w:type="spellEnd"/>
      <w:r w:rsidRPr="00175380">
        <w:rPr>
          <w:rFonts w:ascii="Times New Roman" w:hAnsi="Times New Roman" w:cs="Times New Roman"/>
          <w:i/>
          <w:iCs/>
          <w:szCs w:val="21"/>
        </w:rPr>
        <w:t xml:space="preserve"> Normal University</w:t>
      </w:r>
      <w:r w:rsidRPr="00175380">
        <w:rPr>
          <w:rFonts w:ascii="Times New Roman" w:hAnsi="Times New Roman" w:cs="Times New Roman"/>
          <w:i/>
          <w:iCs/>
          <w:szCs w:val="21"/>
        </w:rPr>
        <w:t>，</w:t>
      </w:r>
      <w:proofErr w:type="spellStart"/>
      <w:r w:rsidRPr="00175380">
        <w:rPr>
          <w:rFonts w:ascii="Times New Roman" w:hAnsi="Times New Roman" w:cs="Times New Roman"/>
          <w:i/>
          <w:iCs/>
          <w:szCs w:val="21"/>
        </w:rPr>
        <w:t>Anqing</w:t>
      </w:r>
      <w:proofErr w:type="spellEnd"/>
      <w:r w:rsidRPr="00175380">
        <w:rPr>
          <w:rFonts w:ascii="Times New Roman" w:hAnsi="Times New Roman" w:cs="Times New Roman"/>
          <w:i/>
          <w:iCs/>
          <w:szCs w:val="21"/>
        </w:rPr>
        <w:t xml:space="preserve"> 246133</w:t>
      </w:r>
      <w:r w:rsidRPr="00175380">
        <w:rPr>
          <w:rFonts w:ascii="Times New Roman" w:hAnsi="Times New Roman" w:cs="Times New Roman"/>
          <w:i/>
          <w:iCs/>
          <w:szCs w:val="21"/>
        </w:rPr>
        <w:t>，</w:t>
      </w:r>
      <w:r w:rsidRPr="00175380">
        <w:rPr>
          <w:rFonts w:ascii="Times New Roman" w:hAnsi="Times New Roman" w:cs="Times New Roman"/>
          <w:i/>
          <w:iCs/>
          <w:szCs w:val="21"/>
        </w:rPr>
        <w:t>Anhui</w:t>
      </w:r>
      <w:r w:rsidRPr="00175380">
        <w:rPr>
          <w:rFonts w:ascii="Times New Roman" w:hAnsi="Times New Roman" w:cs="Times New Roman"/>
          <w:i/>
          <w:iCs/>
          <w:szCs w:val="21"/>
        </w:rPr>
        <w:t>，</w:t>
      </w:r>
      <w:r w:rsidRPr="00175380">
        <w:rPr>
          <w:rFonts w:ascii="Times New Roman" w:hAnsi="Times New Roman" w:cs="Times New Roman"/>
          <w:i/>
          <w:iCs/>
          <w:szCs w:val="21"/>
        </w:rPr>
        <w:t>China</w:t>
      </w:r>
      <w:bookmarkEnd w:id="1"/>
    </w:p>
    <w:p w14:paraId="2A31F666" w14:textId="052DD945" w:rsidR="00D91912" w:rsidRPr="00D91912" w:rsidRDefault="00D91912" w:rsidP="00D91912">
      <w:pPr>
        <w:spacing w:line="360" w:lineRule="auto"/>
        <w:rPr>
          <w:rFonts w:ascii="Times New Roman" w:hAnsi="Times New Roman" w:cs="Times New Roman"/>
          <w:i/>
          <w:iCs/>
          <w:szCs w:val="21"/>
        </w:rPr>
      </w:pPr>
      <w:r>
        <w:rPr>
          <w:rFonts w:ascii="Times New Roman" w:hAnsi="Times New Roman" w:cs="Times New Roman"/>
          <w:i/>
          <w:iCs/>
          <w:szCs w:val="21"/>
        </w:rPr>
        <w:t xml:space="preserve">c. </w:t>
      </w:r>
      <w:r w:rsidRPr="00D91912">
        <w:rPr>
          <w:rFonts w:ascii="Times New Roman" w:hAnsi="Times New Roman" w:cs="Times New Roman"/>
          <w:i/>
          <w:iCs/>
          <w:szCs w:val="21"/>
        </w:rPr>
        <w:t>Graduate School of Fisheries and Environmental Sciences, Nagasaki University, Nagasaki 852-8521, Japan</w:t>
      </w:r>
    </w:p>
    <w:p w14:paraId="2E62CD57" w14:textId="55DFC090" w:rsidR="00D91912" w:rsidRPr="00D91912" w:rsidRDefault="00D91912" w:rsidP="00D91912">
      <w:pPr>
        <w:spacing w:line="360" w:lineRule="auto"/>
        <w:rPr>
          <w:rFonts w:ascii="Times New Roman" w:hAnsi="Times New Roman" w:cs="Times New Roman"/>
          <w:i/>
          <w:iCs/>
          <w:szCs w:val="21"/>
        </w:rPr>
      </w:pPr>
      <w:r>
        <w:rPr>
          <w:rFonts w:ascii="Times New Roman" w:hAnsi="Times New Roman" w:cs="Times New Roman"/>
          <w:i/>
          <w:iCs/>
          <w:szCs w:val="21"/>
        </w:rPr>
        <w:t xml:space="preserve">d. </w:t>
      </w:r>
      <w:r w:rsidRPr="00D91912">
        <w:rPr>
          <w:rFonts w:ascii="Times New Roman" w:hAnsi="Times New Roman" w:cs="Times New Roman"/>
          <w:i/>
          <w:iCs/>
          <w:szCs w:val="21"/>
        </w:rPr>
        <w:t>Institute for East China Sea Research, Organization for Marine Science and Technology, Nagasaki University, Nagasaki 851-2213, Japan</w:t>
      </w:r>
    </w:p>
    <w:p w14:paraId="65103FDC" w14:textId="77777777" w:rsidR="00D91912" w:rsidRPr="00D91912" w:rsidRDefault="00D91912" w:rsidP="003F0B37">
      <w:pPr>
        <w:spacing w:line="360" w:lineRule="auto"/>
        <w:rPr>
          <w:rFonts w:ascii="Times New Roman" w:hAnsi="Times New Roman" w:cs="Times New Roman"/>
          <w:szCs w:val="21"/>
        </w:rPr>
      </w:pPr>
    </w:p>
    <w:p w14:paraId="7B17EEC9" w14:textId="77777777" w:rsidR="003F0B37" w:rsidRPr="006123D6" w:rsidRDefault="003F0B37" w:rsidP="003F0B37">
      <w:pPr>
        <w:spacing w:line="360" w:lineRule="auto"/>
        <w:rPr>
          <w:rFonts w:ascii="Times New Roman" w:hAnsi="Times New Roman" w:cs="Times New Roman"/>
          <w:b/>
          <w:bCs/>
          <w:szCs w:val="21"/>
        </w:rPr>
      </w:pPr>
    </w:p>
    <w:p w14:paraId="1EB5A2F0" w14:textId="77777777" w:rsidR="00950088" w:rsidRPr="002C4F5E" w:rsidRDefault="00950088">
      <w:pPr>
        <w:spacing w:line="360" w:lineRule="auto"/>
        <w:rPr>
          <w:rFonts w:ascii="Times New Roman" w:hAnsi="Times New Roman" w:cs="Times New Roman"/>
          <w:b/>
          <w:bCs/>
          <w:szCs w:val="21"/>
        </w:rPr>
      </w:pPr>
    </w:p>
    <w:p w14:paraId="3938A508" w14:textId="77777777" w:rsidR="00950088" w:rsidRPr="00C373EF" w:rsidRDefault="00950088">
      <w:pPr>
        <w:spacing w:line="360" w:lineRule="auto"/>
        <w:rPr>
          <w:rFonts w:ascii="Times New Roman" w:hAnsi="Times New Roman" w:cs="Times New Roman"/>
          <w:b/>
          <w:bCs/>
          <w:szCs w:val="21"/>
        </w:rPr>
      </w:pPr>
    </w:p>
    <w:p w14:paraId="4D20078F" w14:textId="77777777" w:rsidR="00950088" w:rsidRPr="00E46020" w:rsidRDefault="00950088">
      <w:pPr>
        <w:spacing w:line="360" w:lineRule="auto"/>
        <w:rPr>
          <w:rFonts w:ascii="Times New Roman" w:hAnsi="Times New Roman" w:cs="Times New Roman"/>
          <w:b/>
          <w:bCs/>
          <w:szCs w:val="21"/>
        </w:rPr>
      </w:pPr>
    </w:p>
    <w:p w14:paraId="60CEE91D" w14:textId="77777777" w:rsidR="00950088" w:rsidRPr="0083523B" w:rsidRDefault="00950088">
      <w:pPr>
        <w:spacing w:line="360" w:lineRule="auto"/>
        <w:rPr>
          <w:rFonts w:ascii="Times New Roman" w:hAnsi="Times New Roman" w:cs="Times New Roman"/>
          <w:b/>
          <w:bCs/>
          <w:szCs w:val="21"/>
        </w:rPr>
      </w:pPr>
    </w:p>
    <w:p w14:paraId="7CD1FA83" w14:textId="77777777" w:rsidR="00950088" w:rsidRDefault="00950088">
      <w:pPr>
        <w:spacing w:line="360" w:lineRule="auto"/>
        <w:rPr>
          <w:rFonts w:ascii="Times New Roman" w:hAnsi="Times New Roman" w:cs="Times New Roman"/>
          <w:b/>
          <w:bCs/>
          <w:szCs w:val="21"/>
        </w:rPr>
      </w:pPr>
    </w:p>
    <w:p w14:paraId="6FAFBC33" w14:textId="77777777" w:rsidR="00950088" w:rsidRDefault="00950088">
      <w:pPr>
        <w:spacing w:line="360" w:lineRule="auto"/>
        <w:rPr>
          <w:rFonts w:ascii="Times New Roman" w:hAnsi="Times New Roman" w:cs="Times New Roman"/>
          <w:b/>
          <w:bCs/>
          <w:szCs w:val="21"/>
        </w:rPr>
      </w:pPr>
    </w:p>
    <w:p w14:paraId="43D3F06E" w14:textId="77777777" w:rsidR="00950088" w:rsidRDefault="00950088">
      <w:pPr>
        <w:spacing w:line="360" w:lineRule="auto"/>
        <w:rPr>
          <w:rFonts w:ascii="Times New Roman" w:hAnsi="Times New Roman" w:cs="Times New Roman"/>
          <w:b/>
          <w:bCs/>
          <w:szCs w:val="21"/>
        </w:rPr>
      </w:pPr>
    </w:p>
    <w:p w14:paraId="34BB8833" w14:textId="77777777" w:rsidR="00950088" w:rsidRDefault="00950088">
      <w:pPr>
        <w:spacing w:line="360" w:lineRule="auto"/>
        <w:rPr>
          <w:rFonts w:ascii="Times New Roman" w:hAnsi="Times New Roman" w:cs="Times New Roman"/>
          <w:b/>
          <w:bCs/>
          <w:szCs w:val="21"/>
        </w:rPr>
      </w:pPr>
    </w:p>
    <w:p w14:paraId="1964D702" w14:textId="77777777" w:rsidR="00950088" w:rsidRDefault="00950088">
      <w:pPr>
        <w:spacing w:line="360" w:lineRule="auto"/>
        <w:rPr>
          <w:rFonts w:ascii="Times New Roman" w:hAnsi="Times New Roman" w:cs="Times New Roman"/>
          <w:b/>
          <w:bCs/>
          <w:szCs w:val="21"/>
        </w:rPr>
      </w:pPr>
    </w:p>
    <w:p w14:paraId="7CE8DE49" w14:textId="009A1FB2" w:rsidR="00950088" w:rsidRDefault="009B7B1B" w:rsidP="00650D40">
      <w:pPr>
        <w:widowControl/>
        <w:jc w:val="left"/>
        <w:rPr>
          <w:rFonts w:ascii="Times New Roman" w:hAnsi="Times New Roman" w:cs="Times New Roman"/>
          <w:b/>
          <w:bCs/>
          <w:szCs w:val="21"/>
        </w:rPr>
      </w:pPr>
      <w:r>
        <w:rPr>
          <w:rFonts w:ascii="Times New Roman" w:hAnsi="Times New Roman" w:cs="Times New Roman"/>
          <w:b/>
          <w:bCs/>
          <w:szCs w:val="21"/>
        </w:rPr>
        <w:br w:type="page"/>
      </w:r>
      <w:r>
        <w:rPr>
          <w:rFonts w:ascii="Times New Roman" w:hAnsi="Times New Roman" w:cs="Times New Roman"/>
          <w:b/>
          <w:bCs/>
          <w:szCs w:val="21"/>
        </w:rPr>
        <w:lastRenderedPageBreak/>
        <w:t>A</w:t>
      </w:r>
      <w:r>
        <w:rPr>
          <w:rFonts w:ascii="Times New Roman" w:hAnsi="Times New Roman" w:cs="Times New Roman" w:hint="eastAsia"/>
          <w:b/>
          <w:bCs/>
          <w:szCs w:val="21"/>
        </w:rPr>
        <w:t>bstract</w:t>
      </w:r>
    </w:p>
    <w:p w14:paraId="1EFDE290" w14:textId="4BAE2FD3" w:rsidR="00950088" w:rsidRPr="00FC3758" w:rsidRDefault="00000000">
      <w:pPr>
        <w:spacing w:line="360" w:lineRule="auto"/>
        <w:ind w:firstLineChars="200" w:firstLine="420"/>
        <w:rPr>
          <w:rFonts w:ascii="Times New Roman" w:hAnsi="Times New Roman" w:cs="Times New Roman"/>
          <w:szCs w:val="21"/>
        </w:rPr>
      </w:pPr>
      <w:r w:rsidRPr="00FC3758">
        <w:rPr>
          <w:rFonts w:ascii="Times New Roman" w:hAnsi="Times New Roman" w:cs="Times New Roman"/>
          <w:szCs w:val="21"/>
        </w:rPr>
        <w:t>Bifenthrin (BF) is a new highly effective broad-spectrum insecticide</w:t>
      </w:r>
      <w:r>
        <w:rPr>
          <w:rFonts w:ascii="Times New Roman" w:hAnsi="Times New Roman" w:cs="Times New Roman"/>
          <w:szCs w:val="21"/>
        </w:rPr>
        <w:t xml:space="preserve"> that has gained widespread use</w:t>
      </w:r>
      <w:r w:rsidRPr="00FC3758">
        <w:rPr>
          <w:rFonts w:ascii="Times New Roman" w:hAnsi="Times New Roman" w:cs="Times New Roman"/>
          <w:szCs w:val="21"/>
        </w:rPr>
        <w:t xml:space="preserve">. However, there </w:t>
      </w:r>
      <w:r>
        <w:rPr>
          <w:rFonts w:ascii="Times New Roman" w:eastAsia="宋体" w:hAnsi="Times New Roman" w:cs="Times New Roman"/>
          <w:szCs w:val="21"/>
        </w:rPr>
        <w:t xml:space="preserve">is limited research </w:t>
      </w:r>
      <w:r w:rsidRPr="00FC3758">
        <w:rPr>
          <w:rFonts w:ascii="Times New Roman" w:hAnsi="Times New Roman" w:cs="Times New Roman"/>
          <w:szCs w:val="21"/>
        </w:rPr>
        <w:t xml:space="preserve">on the potential toxic effects of bifenthrin pollution on amphibians. In this research, Chinese giant salamanders (CGS) were exposed to </w:t>
      </w:r>
      <w:r>
        <w:rPr>
          <w:rFonts w:ascii="Times New Roman" w:hAnsi="Times New Roman" w:cs="Times New Roman"/>
          <w:szCs w:val="21"/>
        </w:rPr>
        <w:t>three different concentrations of BF (</w:t>
      </w:r>
      <w:r w:rsidRPr="00FC3758">
        <w:rPr>
          <w:rFonts w:ascii="Times New Roman" w:hAnsi="Times New Roman" w:cs="Times New Roman"/>
          <w:szCs w:val="21"/>
        </w:rPr>
        <w:t>0, 0.04, and 4 g/L BF</w:t>
      </w:r>
      <w:r>
        <w:rPr>
          <w:rFonts w:ascii="Times New Roman" w:hAnsi="Times New Roman" w:cs="Times New Roman"/>
          <w:szCs w:val="21"/>
        </w:rPr>
        <w:t>)</w:t>
      </w:r>
      <w:r w:rsidRPr="00FC3758">
        <w:rPr>
          <w:rFonts w:ascii="Times New Roman" w:hAnsi="Times New Roman" w:cs="Times New Roman"/>
          <w:szCs w:val="21"/>
        </w:rPr>
        <w:t xml:space="preserve"> for 1-week to investigate the toxic effects. Behavioral changes, liver pathology, oxidative stress factors, DNA damage, and transcriptome differences were observed and analyzed. The results showed that </w:t>
      </w:r>
      <w:r>
        <w:rPr>
          <w:rFonts w:ascii="Times New Roman" w:hAnsi="Times New Roman" w:cs="Times New Roman"/>
          <w:szCs w:val="21"/>
        </w:rPr>
        <w:t xml:space="preserve">exposure to </w:t>
      </w:r>
      <w:r w:rsidRPr="00FC3758">
        <w:rPr>
          <w:rFonts w:ascii="Times New Roman" w:hAnsi="Times New Roman" w:cs="Times New Roman"/>
          <w:szCs w:val="21"/>
        </w:rPr>
        <w:t xml:space="preserve">BF (0.04 and 4) significantly decreased the adenosine-triphosphate (ATP), superoxide dismutase (SOD), </w:t>
      </w:r>
      <w:r>
        <w:rPr>
          <w:rFonts w:ascii="Times New Roman" w:hAnsi="Times New Roman" w:cs="Times New Roman"/>
          <w:szCs w:val="21"/>
        </w:rPr>
        <w:t>glutathione</w:t>
      </w:r>
      <w:r w:rsidRPr="00FC3758">
        <w:rPr>
          <w:rFonts w:ascii="Times New Roman" w:hAnsi="Times New Roman" w:cs="Times New Roman"/>
          <w:szCs w:val="21"/>
        </w:rPr>
        <w:t xml:space="preserve"> (GSH), catalase (CAT), and 8-hydroxydeoxyguanosine (8-OHdG) contents in the brain, liver, and kidney of CGS, whereas the malondialdehyde</w:t>
      </w:r>
      <w:r>
        <w:rPr>
          <w:rFonts w:ascii="Times New Roman" w:hAnsi="Times New Roman" w:cs="Times New Roman"/>
          <w:szCs w:val="21"/>
        </w:rPr>
        <w:t xml:space="preserve"> (</w:t>
      </w:r>
      <w:r w:rsidRPr="00FC3758">
        <w:rPr>
          <w:rFonts w:ascii="Times New Roman" w:hAnsi="Times New Roman" w:cs="Times New Roman"/>
          <w:szCs w:val="21"/>
        </w:rPr>
        <w:t>MDA) and reactive oxygen species</w:t>
      </w:r>
      <w:r>
        <w:rPr>
          <w:rFonts w:ascii="Times New Roman" w:hAnsi="Times New Roman" w:cs="Times New Roman"/>
          <w:szCs w:val="21"/>
        </w:rPr>
        <w:t xml:space="preserve"> (</w:t>
      </w:r>
      <w:r w:rsidRPr="00FC3758">
        <w:rPr>
          <w:rFonts w:ascii="Times New Roman" w:hAnsi="Times New Roman" w:cs="Times New Roman"/>
          <w:szCs w:val="21"/>
        </w:rPr>
        <w:t xml:space="preserve">ROS) contents were </w:t>
      </w:r>
      <w:r w:rsidR="00DE5C12">
        <w:rPr>
          <w:rFonts w:ascii="Times New Roman" w:hAnsi="Times New Roman" w:cs="Times New Roman"/>
          <w:szCs w:val="21"/>
        </w:rPr>
        <w:t>in</w:t>
      </w:r>
      <w:r w:rsidRPr="00FC3758">
        <w:rPr>
          <w:rFonts w:ascii="Times New Roman" w:hAnsi="Times New Roman" w:cs="Times New Roman"/>
          <w:szCs w:val="21"/>
        </w:rPr>
        <w:t xml:space="preserve">creased. The liver tissue showed considerable inflammatory reactions and structural malformations. </w:t>
      </w:r>
      <w:proofErr w:type="spellStart"/>
      <w:r w:rsidRPr="00FC3758">
        <w:rPr>
          <w:rFonts w:ascii="Times New Roman" w:hAnsi="Times New Roman" w:cs="Times New Roman"/>
          <w:szCs w:val="21"/>
        </w:rPr>
        <w:t>RNAseq</w:t>
      </w:r>
      <w:proofErr w:type="spellEnd"/>
      <w:r w:rsidRPr="00FC3758">
        <w:rPr>
          <w:rFonts w:ascii="Times New Roman" w:hAnsi="Times New Roman" w:cs="Times New Roman"/>
          <w:szCs w:val="21"/>
        </w:rPr>
        <w:t xml:space="preserve"> analysis of the liver showed that BF caused abnormal antioxidant indices of CGS, which affected </w:t>
      </w:r>
      <w:r w:rsidR="00036519">
        <w:rPr>
          <w:rFonts w:ascii="Times New Roman" w:hAnsi="Times New Roman" w:cs="Times New Roman"/>
          <w:szCs w:val="21"/>
        </w:rPr>
        <w:t>m</w:t>
      </w:r>
      <w:r w:rsidR="00F3381B" w:rsidRPr="0083523B">
        <w:rPr>
          <w:rFonts w:ascii="Times New Roman" w:hAnsi="Times New Roman" w:cs="Times New Roman"/>
          <w:szCs w:val="21"/>
        </w:rPr>
        <w:t xml:space="preserve">olecular function genes such as </w:t>
      </w:r>
      <w:r w:rsidRPr="00FC3758">
        <w:rPr>
          <w:rFonts w:ascii="Times New Roman" w:hAnsi="Times New Roman" w:cs="Times New Roman"/>
          <w:szCs w:val="21"/>
        </w:rPr>
        <w:t>catalytic activity, ATP-dependent activity, metabolic processes, signaling and immune system processes</w:t>
      </w:r>
      <w:r w:rsidR="00D00331">
        <w:rPr>
          <w:rFonts w:ascii="Times New Roman" w:hAnsi="Times New Roman" w:cs="Times New Roman"/>
          <w:szCs w:val="21"/>
        </w:rPr>
        <w:t xml:space="preserve">, </w:t>
      </w:r>
      <w:r w:rsidRPr="00FC3758">
        <w:rPr>
          <w:rFonts w:ascii="Times New Roman" w:hAnsi="Times New Roman" w:cs="Times New Roman"/>
          <w:szCs w:val="21"/>
        </w:rPr>
        <w:t>behavior and detoxification significantly up</w:t>
      </w:r>
      <w:r w:rsidR="00F3381B">
        <w:rPr>
          <w:rFonts w:ascii="Times New Roman" w:hAnsi="Times New Roman" w:cs="Times New Roman"/>
          <w:szCs w:val="21"/>
        </w:rPr>
        <w:t>-</w:t>
      </w:r>
      <w:r w:rsidRPr="00FC3758">
        <w:rPr>
          <w:rFonts w:ascii="Times New Roman" w:hAnsi="Times New Roman" w:cs="Times New Roman"/>
          <w:szCs w:val="21"/>
        </w:rPr>
        <w:t>regulated, resulting the</w:t>
      </w:r>
      <w:r w:rsidR="00036519">
        <w:rPr>
          <w:rFonts w:ascii="Times New Roman" w:hAnsi="Times New Roman" w:cs="Times New Roman"/>
          <w:szCs w:val="21"/>
        </w:rPr>
        <w:t xml:space="preserve"> </w:t>
      </w:r>
      <w:hyperlink r:id="rId8" w:history="1">
        <w:r w:rsidR="00036519" w:rsidRPr="0083523B">
          <w:rPr>
            <w:rFonts w:ascii="Times New Roman" w:hAnsi="Times New Roman" w:cs="Times New Roman"/>
            <w:szCs w:val="21"/>
          </w:rPr>
          <w:t>differential gene</w:t>
        </w:r>
      </w:hyperlink>
      <w:r w:rsidR="00036519" w:rsidRPr="0083523B">
        <w:rPr>
          <w:rFonts w:ascii="Times New Roman" w:hAnsi="Times New Roman" w:cs="Times New Roman"/>
          <w:szCs w:val="21"/>
        </w:rPr>
        <w:t>s</w:t>
      </w:r>
      <w:r w:rsidR="00036519" w:rsidRPr="00036519">
        <w:rPr>
          <w:rFonts w:ascii="Times New Roman" w:hAnsi="Times New Roman" w:cs="Times New Roman"/>
          <w:szCs w:val="21"/>
        </w:rPr>
        <w:t xml:space="preserve"> </w:t>
      </w:r>
      <w:r w:rsidR="00036519" w:rsidRPr="00FC3758">
        <w:rPr>
          <w:rFonts w:ascii="Times New Roman" w:hAnsi="Times New Roman" w:cs="Times New Roman"/>
          <w:szCs w:val="21"/>
        </w:rPr>
        <w:t>were significantly enriched</w:t>
      </w:r>
      <w:r w:rsidR="00036519">
        <w:rPr>
          <w:rFonts w:ascii="Times New Roman" w:hAnsi="Times New Roman" w:cs="Times New Roman"/>
          <w:szCs w:val="21"/>
        </w:rPr>
        <w:t xml:space="preserve"> in </w:t>
      </w:r>
      <w:r w:rsidRPr="00FC3758">
        <w:rPr>
          <w:rFonts w:ascii="Times New Roman" w:hAnsi="Times New Roman" w:cs="Times New Roman"/>
          <w:szCs w:val="21"/>
        </w:rPr>
        <w:t>calcium</w:t>
      </w:r>
      <w:r w:rsidR="00B3626B">
        <w:rPr>
          <w:rFonts w:ascii="Times New Roman" w:hAnsi="Times New Roman" w:cs="Times New Roman"/>
          <w:szCs w:val="21"/>
        </w:rPr>
        <w:t xml:space="preserve"> </w:t>
      </w:r>
      <w:r w:rsidR="00B3626B" w:rsidRPr="00FC3758">
        <w:rPr>
          <w:rFonts w:ascii="Times New Roman" w:hAnsi="Times New Roman" w:cs="Times New Roman"/>
          <w:szCs w:val="21"/>
        </w:rPr>
        <w:t>signaling pathway</w:t>
      </w:r>
      <w:r w:rsidRPr="00FC3758">
        <w:rPr>
          <w:rFonts w:ascii="Times New Roman" w:hAnsi="Times New Roman" w:cs="Times New Roman"/>
          <w:szCs w:val="21"/>
        </w:rPr>
        <w:t xml:space="preserve">, </w:t>
      </w:r>
      <w:r w:rsidR="00F3381B" w:rsidRPr="002738C8">
        <w:rPr>
          <w:rFonts w:ascii="Times New Roman" w:eastAsia="宋体" w:hAnsi="Times New Roman" w:cs="Times New Roman"/>
          <w:kern w:val="0"/>
          <w:szCs w:val="21"/>
        </w:rPr>
        <w:t>P</w:t>
      </w:r>
      <w:r w:rsidR="00F3381B">
        <w:rPr>
          <w:rFonts w:ascii="Times New Roman" w:eastAsia="宋体" w:hAnsi="Times New Roman" w:cs="Times New Roman"/>
          <w:kern w:val="0"/>
          <w:szCs w:val="21"/>
        </w:rPr>
        <w:t>P</w:t>
      </w:r>
      <w:r w:rsidR="00F3381B" w:rsidRPr="00786890">
        <w:rPr>
          <w:rFonts w:ascii="Times New Roman" w:eastAsia="宋体" w:hAnsi="Times New Roman" w:cs="Times New Roman"/>
          <w:szCs w:val="21"/>
        </w:rPr>
        <w:t>ARα</w:t>
      </w:r>
      <w:r w:rsidRPr="00FC3758">
        <w:rPr>
          <w:rFonts w:ascii="Times New Roman" w:hAnsi="Times New Roman" w:cs="Times New Roman"/>
          <w:szCs w:val="21"/>
        </w:rPr>
        <w:t xml:space="preserve"> </w:t>
      </w:r>
      <w:r w:rsidR="00B3626B" w:rsidRPr="00FC3758">
        <w:rPr>
          <w:rFonts w:ascii="Times New Roman" w:hAnsi="Times New Roman" w:cs="Times New Roman"/>
          <w:szCs w:val="21"/>
        </w:rPr>
        <w:t>signaling pathway</w:t>
      </w:r>
      <w:r w:rsidR="00B3626B">
        <w:rPr>
          <w:rFonts w:ascii="Times New Roman" w:hAnsi="Times New Roman" w:cs="Times New Roman"/>
          <w:szCs w:val="21"/>
        </w:rPr>
        <w:t xml:space="preserve"> </w:t>
      </w:r>
      <w:r w:rsidRPr="00FC3758">
        <w:rPr>
          <w:rFonts w:ascii="Times New Roman" w:hAnsi="Times New Roman" w:cs="Times New Roman"/>
          <w:szCs w:val="21"/>
        </w:rPr>
        <w:t>and NF-kB signaling pathway. The</w:t>
      </w:r>
      <w:r w:rsidR="00036519">
        <w:rPr>
          <w:rFonts w:ascii="Times New Roman" w:hAnsi="Times New Roman" w:cs="Times New Roman"/>
          <w:szCs w:val="21"/>
        </w:rPr>
        <w:t>se</w:t>
      </w:r>
      <w:r w:rsidRPr="00FC3758">
        <w:rPr>
          <w:rFonts w:ascii="Times New Roman" w:hAnsi="Times New Roman" w:cs="Times New Roman"/>
          <w:szCs w:val="21"/>
        </w:rPr>
        <w:t xml:space="preserve"> results </w:t>
      </w:r>
      <w:r w:rsidR="00944D3F">
        <w:rPr>
          <w:rFonts w:ascii="Times New Roman" w:hAnsi="Times New Roman" w:cs="Times New Roman" w:hint="eastAsia"/>
          <w:szCs w:val="21"/>
        </w:rPr>
        <w:t>indicated</w:t>
      </w:r>
      <w:r w:rsidR="00944D3F">
        <w:rPr>
          <w:rFonts w:ascii="Times New Roman" w:hAnsi="Times New Roman" w:cs="Times New Roman"/>
          <w:szCs w:val="21"/>
        </w:rPr>
        <w:t xml:space="preserve"> </w:t>
      </w:r>
      <w:r w:rsidR="00944D3F">
        <w:rPr>
          <w:rFonts w:ascii="Times New Roman" w:hAnsi="Times New Roman" w:cs="Times New Roman" w:hint="eastAsia"/>
          <w:szCs w:val="21"/>
        </w:rPr>
        <w:t>that</w:t>
      </w:r>
      <w:r w:rsidRPr="00FC3758">
        <w:rPr>
          <w:rFonts w:ascii="Times New Roman" w:hAnsi="Times New Roman" w:cs="Times New Roman"/>
          <w:szCs w:val="21"/>
        </w:rPr>
        <w:t xml:space="preserve"> BF </w:t>
      </w:r>
      <w:r w:rsidR="00036519">
        <w:rPr>
          <w:rFonts w:ascii="Times New Roman" w:hAnsi="Times New Roman" w:cs="Times New Roman"/>
          <w:szCs w:val="21"/>
        </w:rPr>
        <w:t>induced</w:t>
      </w:r>
      <w:r w:rsidR="00036519" w:rsidRPr="00FC3758">
        <w:rPr>
          <w:rFonts w:ascii="Times New Roman" w:hAnsi="Times New Roman" w:cs="Times New Roman"/>
          <w:szCs w:val="21"/>
        </w:rPr>
        <w:t xml:space="preserve"> </w:t>
      </w:r>
      <w:r w:rsidRPr="00FC3758">
        <w:rPr>
          <w:rFonts w:ascii="Times New Roman" w:hAnsi="Times New Roman" w:cs="Times New Roman"/>
          <w:szCs w:val="21"/>
        </w:rPr>
        <w:t>the</w:t>
      </w:r>
      <w:r w:rsidR="00305AD3">
        <w:rPr>
          <w:rFonts w:ascii="Times New Roman" w:hAnsi="Times New Roman" w:cs="Times New Roman"/>
          <w:szCs w:val="21"/>
        </w:rPr>
        <w:t xml:space="preserve"> abnormal</w:t>
      </w:r>
      <w:r w:rsidRPr="00FC3758">
        <w:rPr>
          <w:rFonts w:ascii="Times New Roman" w:hAnsi="Times New Roman" w:cs="Times New Roman"/>
          <w:szCs w:val="21"/>
        </w:rPr>
        <w:t xml:space="preserve"> production of free radicals to exceed the potential of the self-defense system, causing different degrees of oxidative damage and lipid peroxidation in the body, </w:t>
      </w:r>
      <w:r w:rsidR="00036519">
        <w:rPr>
          <w:rFonts w:ascii="Times New Roman" w:hAnsi="Times New Roman" w:cs="Times New Roman"/>
          <w:szCs w:val="21"/>
        </w:rPr>
        <w:t>resulting in</w:t>
      </w:r>
      <w:r w:rsidRPr="00FC3758">
        <w:rPr>
          <w:rFonts w:ascii="Times New Roman" w:hAnsi="Times New Roman" w:cs="Times New Roman"/>
          <w:szCs w:val="21"/>
        </w:rPr>
        <w:t xml:space="preserve"> oxidative stress, abnormal lipid metabolism, DNA damage, tissue inflammation, and abnormal behavior. This work provides a theoretical basis for the rational use of pyrethrin</w:t>
      </w:r>
      <w:r w:rsidR="007E6140">
        <w:rPr>
          <w:rFonts w:ascii="Times New Roman" w:hAnsi="Times New Roman" w:cs="Times New Roman"/>
          <w:szCs w:val="21"/>
        </w:rPr>
        <w:t xml:space="preserve"> and </w:t>
      </w:r>
      <w:r w:rsidRPr="00FC3758">
        <w:rPr>
          <w:rFonts w:ascii="Times New Roman" w:hAnsi="Times New Roman" w:cs="Times New Roman"/>
          <w:szCs w:val="21"/>
        </w:rPr>
        <w:t>environmental risks</w:t>
      </w:r>
      <w:r w:rsidR="003B5B15">
        <w:rPr>
          <w:rFonts w:ascii="Times New Roman" w:hAnsi="Times New Roman" w:cs="Times New Roman"/>
          <w:szCs w:val="21"/>
        </w:rPr>
        <w:t xml:space="preserve"> </w:t>
      </w:r>
      <w:r w:rsidR="003B5B15">
        <w:rPr>
          <w:rFonts w:ascii="Times New Roman" w:hAnsi="Times New Roman" w:cs="Times New Roman" w:hint="eastAsia"/>
          <w:szCs w:val="21"/>
        </w:rPr>
        <w:t>assessment</w:t>
      </w:r>
      <w:r w:rsidR="00203D5B">
        <w:rPr>
          <w:rFonts w:ascii="Times New Roman" w:hAnsi="Times New Roman" w:cs="Times New Roman"/>
          <w:szCs w:val="21"/>
        </w:rPr>
        <w:t xml:space="preserve">, </w:t>
      </w:r>
      <w:r w:rsidR="0083148B">
        <w:rPr>
          <w:rFonts w:ascii="Times New Roman" w:hAnsi="Times New Roman" w:cs="Times New Roman"/>
          <w:szCs w:val="21"/>
        </w:rPr>
        <w:t xml:space="preserve">and </w:t>
      </w:r>
      <w:r w:rsidRPr="00FC3758">
        <w:rPr>
          <w:rFonts w:ascii="Times New Roman" w:hAnsi="Times New Roman" w:cs="Times New Roman"/>
          <w:szCs w:val="21"/>
        </w:rPr>
        <w:t>scientific guidance for the conservation of amphibian populations.</w:t>
      </w:r>
    </w:p>
    <w:p w14:paraId="63D7AFEE" w14:textId="77777777" w:rsidR="00B527BE" w:rsidRDefault="00B527BE" w:rsidP="00B527BE">
      <w:pPr>
        <w:spacing w:line="360" w:lineRule="auto"/>
        <w:rPr>
          <w:rFonts w:ascii="Times New Roman" w:hAnsi="Times New Roman" w:cs="Times New Roman"/>
          <w:b/>
          <w:bCs/>
          <w:szCs w:val="21"/>
        </w:rPr>
      </w:pPr>
    </w:p>
    <w:p w14:paraId="241E5F18" w14:textId="72FB9224" w:rsidR="00B527BE" w:rsidRDefault="00B527BE" w:rsidP="00B527BE">
      <w:pPr>
        <w:spacing w:line="360" w:lineRule="auto"/>
        <w:rPr>
          <w:rFonts w:ascii="Times New Roman" w:hAnsi="Times New Roman" w:cs="Times New Roman"/>
          <w:b/>
          <w:bCs/>
          <w:szCs w:val="21"/>
        </w:rPr>
      </w:pPr>
      <w:r>
        <w:rPr>
          <w:rFonts w:ascii="Times New Roman" w:hAnsi="Times New Roman" w:cs="Times New Roman"/>
          <w:b/>
          <w:bCs/>
          <w:szCs w:val="21"/>
        </w:rPr>
        <w:t xml:space="preserve">Keywords: </w:t>
      </w:r>
      <w:r>
        <w:rPr>
          <w:rFonts w:ascii="Times New Roman" w:hAnsi="Times New Roman" w:cs="Times New Roman" w:hint="eastAsia"/>
          <w:szCs w:val="21"/>
        </w:rPr>
        <w:t>bifenthrin</w:t>
      </w:r>
      <w:r w:rsidR="002C0E73">
        <w:rPr>
          <w:rFonts w:ascii="Times New Roman" w:hAnsi="Times New Roman" w:cs="Times New Roman"/>
          <w:szCs w:val="21"/>
        </w:rPr>
        <w:t xml:space="preserve">; </w:t>
      </w:r>
      <w:r>
        <w:rPr>
          <w:rFonts w:ascii="Times New Roman" w:hAnsi="Times New Roman" w:cs="Times New Roman"/>
          <w:szCs w:val="21"/>
        </w:rPr>
        <w:t xml:space="preserve">Chinese </w:t>
      </w:r>
      <w:r>
        <w:rPr>
          <w:rFonts w:ascii="Times New Roman" w:hAnsi="Times New Roman" w:cs="Times New Roman" w:hint="eastAsia"/>
          <w:szCs w:val="21"/>
        </w:rPr>
        <w:t>giant salamander</w:t>
      </w:r>
      <w:r w:rsidR="002C0E73">
        <w:rPr>
          <w:rFonts w:ascii="Times New Roman" w:hAnsi="Times New Roman" w:cs="Times New Roman"/>
          <w:szCs w:val="21"/>
        </w:rPr>
        <w:t xml:space="preserve">; </w:t>
      </w:r>
      <w:proofErr w:type="spellStart"/>
      <w:r w:rsidRPr="00FC3758">
        <w:rPr>
          <w:rFonts w:ascii="Times New Roman" w:hAnsi="Times New Roman" w:cs="Times New Roman"/>
          <w:szCs w:val="21"/>
        </w:rPr>
        <w:t>RNAseq</w:t>
      </w:r>
      <w:proofErr w:type="spellEnd"/>
      <w:r w:rsidR="002C0E73">
        <w:rPr>
          <w:rFonts w:ascii="Times New Roman" w:hAnsi="Times New Roman" w:cs="Times New Roman"/>
          <w:szCs w:val="21"/>
        </w:rPr>
        <w:t>;</w:t>
      </w:r>
      <w:r>
        <w:rPr>
          <w:rFonts w:ascii="Times New Roman" w:hAnsi="Times New Roman" w:cs="Times New Roman"/>
          <w:szCs w:val="21"/>
        </w:rPr>
        <w:t xml:space="preserve"> </w:t>
      </w:r>
      <w:r w:rsidRPr="00FC3758">
        <w:rPr>
          <w:rFonts w:ascii="Times New Roman" w:hAnsi="Times New Roman" w:cs="Times New Roman"/>
          <w:szCs w:val="21"/>
        </w:rPr>
        <w:t>oxidative stress</w:t>
      </w:r>
      <w:r w:rsidR="002C0E73">
        <w:rPr>
          <w:rFonts w:ascii="Times New Roman" w:hAnsi="Times New Roman" w:cs="Times New Roman"/>
          <w:szCs w:val="21"/>
        </w:rPr>
        <w:t>;</w:t>
      </w:r>
      <w:r w:rsidRPr="00FC3758">
        <w:rPr>
          <w:rFonts w:ascii="Times New Roman" w:hAnsi="Times New Roman" w:cs="Times New Roman"/>
          <w:szCs w:val="21"/>
        </w:rPr>
        <w:t xml:space="preserve"> DNA damage</w:t>
      </w:r>
    </w:p>
    <w:p w14:paraId="334E135C" w14:textId="3C32E885" w:rsidR="00950088" w:rsidRPr="00B527BE" w:rsidRDefault="00950088">
      <w:pPr>
        <w:spacing w:line="360" w:lineRule="auto"/>
        <w:rPr>
          <w:rFonts w:ascii="Times New Roman" w:hAnsi="Times New Roman" w:cs="Times New Roman"/>
          <w:szCs w:val="21"/>
        </w:rPr>
      </w:pPr>
    </w:p>
    <w:p w14:paraId="7F3BF5AD" w14:textId="77777777" w:rsidR="00950088" w:rsidRDefault="00950088">
      <w:pPr>
        <w:spacing w:line="360" w:lineRule="auto"/>
        <w:rPr>
          <w:rFonts w:ascii="Times New Roman" w:hAnsi="Times New Roman" w:cs="Times New Roman"/>
          <w:szCs w:val="21"/>
        </w:rPr>
      </w:pPr>
    </w:p>
    <w:p w14:paraId="40BD3096" w14:textId="77777777" w:rsidR="000726A3" w:rsidRDefault="000726A3">
      <w:pPr>
        <w:widowControl/>
        <w:jc w:val="left"/>
        <w:rPr>
          <w:rFonts w:ascii="Times New Roman" w:hAnsi="Times New Roman" w:cs="Times New Roman"/>
          <w:b/>
          <w:bCs/>
          <w:szCs w:val="21"/>
        </w:rPr>
      </w:pPr>
      <w:bookmarkStart w:id="2" w:name="OLE_LINK4"/>
      <w:r>
        <w:rPr>
          <w:rFonts w:ascii="Times New Roman" w:hAnsi="Times New Roman" w:cs="Times New Roman"/>
          <w:b/>
          <w:bCs/>
          <w:szCs w:val="21"/>
        </w:rPr>
        <w:br w:type="page"/>
      </w:r>
    </w:p>
    <w:p w14:paraId="3A4CE07D" w14:textId="02D1ABEC" w:rsidR="00950088" w:rsidRDefault="00000000" w:rsidP="00FC3758">
      <w:pPr>
        <w:pStyle w:val="af"/>
        <w:numPr>
          <w:ilvl w:val="0"/>
          <w:numId w:val="1"/>
        </w:numPr>
        <w:spacing w:line="360" w:lineRule="auto"/>
        <w:ind w:left="0" w:firstLineChars="0" w:firstLine="0"/>
        <w:jc w:val="left"/>
        <w:rPr>
          <w:rFonts w:ascii="Times New Roman" w:hAnsi="Times New Roman" w:cs="Times New Roman"/>
          <w:b/>
          <w:bCs/>
          <w:szCs w:val="21"/>
        </w:rPr>
      </w:pPr>
      <w:r>
        <w:rPr>
          <w:rFonts w:ascii="Times New Roman" w:hAnsi="Times New Roman" w:cs="Times New Roman"/>
          <w:b/>
          <w:bCs/>
          <w:szCs w:val="21"/>
        </w:rPr>
        <w:lastRenderedPageBreak/>
        <w:t>Introduction</w:t>
      </w:r>
    </w:p>
    <w:bookmarkEnd w:id="2"/>
    <w:p w14:paraId="324CF1F4" w14:textId="68A76CF1" w:rsidR="00950088" w:rsidRDefault="00000000" w:rsidP="00FC3758">
      <w:pPr>
        <w:pStyle w:val="af"/>
        <w:widowControl/>
        <w:shd w:val="clear" w:color="auto" w:fill="FFFFFF"/>
        <w:suppressAutoHyphens/>
        <w:spacing w:line="360" w:lineRule="auto"/>
        <w:rPr>
          <w:rFonts w:ascii="Times New Roman" w:hAnsi="Times New Roman" w:cs="Times New Roman"/>
          <w:szCs w:val="21"/>
        </w:rPr>
      </w:pPr>
      <w:r>
        <w:rPr>
          <w:rFonts w:ascii="Times New Roman" w:hAnsi="Times New Roman" w:cs="Times New Roman" w:hint="eastAsia"/>
          <w:szCs w:val="21"/>
        </w:rPr>
        <w:t>Pyrethroid</w:t>
      </w:r>
      <w:r>
        <w:rPr>
          <w:rFonts w:ascii="Times New Roman" w:hAnsi="Times New Roman" w:cs="Times New Roman"/>
          <w:szCs w:val="21"/>
        </w:rPr>
        <w:t>s</w:t>
      </w:r>
      <w:r>
        <w:rPr>
          <w:rFonts w:ascii="Times New Roman" w:hAnsi="Times New Roman" w:cs="Times New Roman" w:hint="eastAsia"/>
          <w:szCs w:val="21"/>
        </w:rPr>
        <w:t xml:space="preserve"> a</w:t>
      </w:r>
      <w:r>
        <w:rPr>
          <w:rFonts w:ascii="Times New Roman" w:eastAsia="宋体" w:hAnsi="Times New Roman" w:cs="Times New Roman"/>
          <w:szCs w:val="21"/>
        </w:rPr>
        <w:t>re highly efficient and broad-spectrum insecticides</w:t>
      </w:r>
      <w:r>
        <w:rPr>
          <w:rFonts w:ascii="Times New Roman" w:hAnsi="Times New Roman" w:cs="Times New Roman" w:hint="eastAsia"/>
          <w:szCs w:val="21"/>
        </w:rPr>
        <w:t xml:space="preserve"> that have </w:t>
      </w:r>
      <w:r>
        <w:rPr>
          <w:rFonts w:ascii="Times New Roman" w:hAnsi="Times New Roman" w:cs="Times New Roman"/>
          <w:szCs w:val="21"/>
        </w:rPr>
        <w:t>gained widespread use due to their effectiveness</w:t>
      </w:r>
      <w:r>
        <w:rPr>
          <w:rFonts w:ascii="Times New Roman" w:eastAsia="宋体" w:hAnsi="Times New Roman" w:cs="Times New Roman"/>
          <w:szCs w:val="21"/>
        </w:rPr>
        <w:t xml:space="preserve"> and low toxicity. Bifenthrin (BF) is a common pyrethroid insecticide </w:t>
      </w:r>
      <w:r>
        <w:rPr>
          <w:rFonts w:ascii="Times New Roman" w:hAnsi="Times New Roman" w:cs="Times New Roman" w:hint="eastAsia"/>
          <w:szCs w:val="21"/>
        </w:rPr>
        <w:t xml:space="preserve">mainly used for the prevention and </w:t>
      </w:r>
      <w:r>
        <w:rPr>
          <w:rFonts w:ascii="Times New Roman" w:eastAsia="宋体" w:hAnsi="Times New Roman" w:cs="Times New Roman"/>
          <w:szCs w:val="21"/>
        </w:rPr>
        <w:t>control of plant diseases and insect pests in arbor forests, tea trees, and cotton</w:t>
      </w:r>
      <w:r w:rsidR="00F660C3">
        <w:rPr>
          <w:rFonts w:ascii="Times New Roman" w:eastAsia="宋体" w:hAnsi="Times New Roman" w:cs="Times New Roman"/>
          <w:szCs w:val="21"/>
        </w:rPr>
        <w:t xml:space="preserve"> </w:t>
      </w:r>
      <w:r w:rsidR="00F660C3">
        <w:rPr>
          <w:rFonts w:ascii="Times New Roman" w:eastAsia="宋体" w:hAnsi="Times New Roman" w:cs="Times New Roman"/>
          <w:szCs w:val="21"/>
        </w:rPr>
        <w:fldChar w:fldCharType="begin" w:fldLock="1"/>
      </w:r>
      <w:r w:rsidR="00F660C3">
        <w:rPr>
          <w:rFonts w:ascii="Times New Roman" w:eastAsia="宋体" w:hAnsi="Times New Roman" w:cs="Times New Roman"/>
          <w:szCs w:val="21"/>
        </w:rPr>
        <w:instrText>ADDIN CSL_CITATION {"citationItems":[{"id":"ITEM-1","itemData":{"DOI":"10.1007/s10311-018-0765-0","ISBN":"0123456789","ISSN":"16103661","abstract":"Bifenthrin is a chiral synthetic pyrethroid insecticide that has been commonly used for agricultural and domestic pest control over the past decades. Due to its widespread application, residues of bifenthrin has been frequently detected in environmental media, residential areas and biota, thus posing potential risks to the health of wildlife and humans. In particular, bifenthrin exhibits high acute lethal toxicity to aquatic species, and it is the primary contributor to the toxicity of insecticides in waters. Additionally, bifenthrin can also cause sublethal toxic effects on various non-target organisms, including developmental toxicity, neurobehavioral toxicity, oxidative damage, immune toxicity and endocrine disrupting effects. Here we review recent studies about the fate of bifenthrin in the environment and biological systems, the toxicity of the chiral parent compound bifenthrin and the toxic effects of main metabolites. The adverse effects of bifenthrin, identified from both in vitro and in vivo studies, and the potential underlying mechanisms are presented. We discuss the enantiomeric difference in the toxicological effects of bifenthrin, since enantiomers of chiral compounds show different interactions with biological systems. Pyrethroid insecticides metabolites are not acutely toxic, but they have sublethal toxicity, such as endocrine disrupting effects and immunotoxicity. We provide emerging evidence for toxic effects of several main metabolites.","author":[{"dropping-particle":"","family":"Yang","given":"Ye","non-dropping-particle":"","parse-names":false,"suffix":""},{"dropping-particle":"","family":"Wu","given":"Nanxiang","non-dropping-particle":"","parse-names":false,"suffix":""},{"dropping-particle":"","family":"Wang","given":"Chunlei","non-dropping-particle":"","parse-names":false,"suffix":""}],"container-title":"Environmental Chemistry Letters","id":"ITEM-1","issue":"4","issued":{"date-parts":[["2018"]]},"page":"1377-1391","publisher":"Springer International Publishing","title":"Toxicity of the pyrethroid bifenthrin insecticide","type":"article-journal","volume":"16"},"uris":["http://www.mendeley.com/documents/?uuid=0df32cd9-3ad0-4496-aa15-9b1f909e32ab"]}],"mendeley":{"formattedCitation":"(Yang et al., 2018)","plainTextFormattedCitation":"(Yang et al., 2018)","previouslyFormattedCitation":"(Yang et al., 2018)"},"properties":{"noteIndex":0},"schema":"https://github.com/citation-style-language/schema/raw/master/csl-citation.json"}</w:instrText>
      </w:r>
      <w:r w:rsidR="00F660C3">
        <w:rPr>
          <w:rFonts w:ascii="Times New Roman" w:eastAsia="宋体" w:hAnsi="Times New Roman" w:cs="Times New Roman"/>
          <w:szCs w:val="21"/>
        </w:rPr>
        <w:fldChar w:fldCharType="separate"/>
      </w:r>
      <w:r w:rsidR="00F660C3" w:rsidRPr="00F660C3">
        <w:rPr>
          <w:rFonts w:ascii="Times New Roman" w:eastAsia="宋体" w:hAnsi="Times New Roman" w:cs="Times New Roman"/>
          <w:noProof/>
          <w:szCs w:val="21"/>
        </w:rPr>
        <w:t>(Yang et al., 2018)</w:t>
      </w:r>
      <w:r w:rsidR="00F660C3">
        <w:rPr>
          <w:rFonts w:ascii="Times New Roman" w:eastAsia="宋体" w:hAnsi="Times New Roman" w:cs="Times New Roman"/>
          <w:szCs w:val="21"/>
        </w:rPr>
        <w:fldChar w:fldCharType="end"/>
      </w:r>
      <w:r w:rsidR="00F660C3">
        <w:rPr>
          <w:rFonts w:ascii="Times New Roman" w:eastAsia="宋体" w:hAnsi="Times New Roman" w:cs="Times New Roman"/>
          <w:szCs w:val="21"/>
        </w:rPr>
        <w:t>.</w:t>
      </w:r>
      <w:r>
        <w:rPr>
          <w:rFonts w:ascii="Times New Roman" w:eastAsia="宋体" w:hAnsi="Times New Roman" w:cs="Times New Roman"/>
          <w:szCs w:val="21"/>
        </w:rPr>
        <w:t xml:space="preserve"> Despite the relatively rapid degradation of pyrethroids compared to other pesticides, their extensive use has </w:t>
      </w:r>
      <w:r w:rsidR="005C1F6D">
        <w:rPr>
          <w:rFonts w:ascii="Times New Roman" w:eastAsia="宋体" w:hAnsi="Times New Roman" w:cs="Times New Roman"/>
          <w:szCs w:val="21"/>
        </w:rPr>
        <w:t>cause</w:t>
      </w:r>
      <w:r>
        <w:rPr>
          <w:rFonts w:ascii="Times New Roman" w:eastAsia="宋体" w:hAnsi="Times New Roman" w:cs="Times New Roman"/>
          <w:szCs w:val="21"/>
        </w:rPr>
        <w:t xml:space="preserve"> </w:t>
      </w:r>
      <w:r w:rsidR="00EC4C2E">
        <w:rPr>
          <w:rFonts w:ascii="Times New Roman" w:eastAsia="宋体" w:hAnsi="Times New Roman" w:cs="Times New Roman"/>
          <w:szCs w:val="21"/>
        </w:rPr>
        <w:t>the high</w:t>
      </w:r>
      <w:r>
        <w:rPr>
          <w:rFonts w:ascii="Times New Roman" w:eastAsia="宋体" w:hAnsi="Times New Roman" w:cs="Times New Roman"/>
          <w:szCs w:val="21"/>
        </w:rPr>
        <w:t xml:space="preserve"> </w:t>
      </w:r>
      <w:r w:rsidR="005C1F6D">
        <w:rPr>
          <w:rFonts w:ascii="Times New Roman" w:eastAsia="宋体" w:hAnsi="Times New Roman" w:cs="Times New Roman"/>
          <w:szCs w:val="21"/>
        </w:rPr>
        <w:t xml:space="preserve">accumulation </w:t>
      </w:r>
      <w:r>
        <w:rPr>
          <w:rFonts w:ascii="Times New Roman" w:eastAsia="宋体" w:hAnsi="Times New Roman" w:cs="Times New Roman"/>
          <w:szCs w:val="21"/>
        </w:rPr>
        <w:t>in water sources through surface runoff, spraying, and rainwater scouring</w:t>
      </w:r>
      <w:r>
        <w:rPr>
          <w:rFonts w:ascii="Times New Roman" w:hAnsi="Times New Roman" w:cs="Times New Roman" w:hint="eastAsia"/>
          <w:szCs w:val="21"/>
        </w:rPr>
        <w:t xml:space="preserve"> </w:t>
      </w:r>
      <w:r w:rsidR="00F660C3">
        <w:rPr>
          <w:rFonts w:ascii="Times New Roman" w:hAnsi="Times New Roman" w:cs="Times New Roman"/>
          <w:szCs w:val="21"/>
        </w:rPr>
        <w:fldChar w:fldCharType="begin" w:fldLock="1"/>
      </w:r>
      <w:r w:rsidR="00F660C3">
        <w:rPr>
          <w:rFonts w:ascii="Times New Roman" w:hAnsi="Times New Roman" w:cs="Times New Roman"/>
          <w:szCs w:val="21"/>
        </w:rPr>
        <w:instrText>ADDIN CSL_CITATION {"citationItems":[{"id":"ITEM-1","itemData":{"DOI":"10.1007/s00128-010-9958-3","ISSN":"00074861","PMID":"20352188","abstract":"An analytical method was developed for determination of some endocrine-disrupting chemicals in water samples from Beijing, China. Fifty two surface water and 50 industrial wastewater samples were analyzed. The residue was detected in 26 industrial wastewater and 19 surface water samples. Atrazine was detected in 8 samples at different levels ranging from 0.12 to 5.16 μg L -1, and phenolic compounds were detected in 19 samples ranging from 0.8 to 26.1 μg L -1. The results show that the main pollutants of surface water samples were atrazine and octylphenol. In industrial wastewater samples, bisphenol A and octylphenol were most commonly found. © 2010 Springer Science+Business Media, LLC.","author":[{"dropping-particle":"","family":"Ge","given":"Jing","non-dropping-particle":"","parse-names":false,"suffix":""},{"dropping-particle":"","family":"Cong","given":"Jian","non-dropping-particle":"","parse-names":false,"suffix":""},{"dropping-particle":"","family":"Sun","given":"Ying","non-dropping-particle":"","parse-names":false,"suffix":""},{"dropping-particle":"","family":"Li","given":"Guoxue","non-dropping-particle":"","parse-names":false,"suffix":""},{"dropping-particle":"","family":"Zhou","given":"Zhiqiang","non-dropping-particle":"","parse-names":false,"suffix":""},{"dropping-particle":"","family":"Qian","given":"Chuanfan","non-dropping-particle":"","parse-names":false,"suffix":""},{"dropping-particle":"","family":"Liu","given":"Fengmao","non-dropping-particle":"","parse-names":false,"suffix":""}],"container-title":"Bulletin of Environmental Contamination and Toxicology","id":"ITEM-1","issue":"4","issued":{"date-parts":[["2010"]]},"page":"401-405","title":"Determination of endocrine disrupting chemicals in surface water and industrial wastewater from Beijing, China","type":"article-journal","volume":"84"},"uris":["http://www.mendeley.com/documents/?uuid=d356e654-438c-404a-8032-a5bdefddd863"]},{"id":"ITEM-2","itemData":{"DOI":"10.4172/2155-9872.1000226","abstract":"The concentrations of some organochlorine, organophosphorus and pyrethroid pesticide residues in water and sediment samples from river Challawa were investigated using High Performance liquid Chromatography (HPLC) with UV/visible Detector. The concentrations of organochlorine and organophosphorus pesticide residues were significantly higher in the sediment samples when compared to water samples. According to the concentrations and detection frequency dieldrin and aldrin were the most dominant compounds among the organochlorine pesticide residues, while chlorpyrifos and dichlovos; permethrin and deltamethrin were the dominant compound among the organophosphorus and pyrethroid pesticides respectively. The result also indicates that the water and sediment samples within the study area were contaminated by dichlovos, diazinon, chlorpyrifos, fenitrothion, dieldrin, aldrin, DDT, DDE and DDDs. The results also show that there is still exists a variety of the studied pesticide in the water and sediment from river Challawa. Despite bans and restrictions on the usage of some of these pesticides in Nigeria, the observed concentrations of the studied Organochlorine and organophosphorus and pyrethroid pesticidesin the eight sample points could explain either their persistence in the environment or continued use in the study area.","author":[{"dropping-particle":"","family":"Akan","given":"JC","non-dropping-particle":"","parse-names":false,"suffix":""},{"dropping-particle":"","family":"Sodipo","given":"OA","non-dropping-particle":"","parse-names":false,"suffix":""},{"dropping-particle":"","family":"Mohammed","given":"Z","non-dropping-particle":"","parse-names":false,"suffix":""},{"dropping-particle":"","family":"Abdulrahman","given":"FI","non-dropping-particle":"","parse-names":false,"suffix":""}],"container-title":"Journal of Analytical &amp; Bioanalytical Techniques","id":"ITEM-2","issue":"6","issued":{"date-parts":[["2014"]]},"page":"1000226","title":"Determination of Organochlorine, Organophosphorus and Pyrethroid Pesticide Residues in Water and Sediment Samples by High Performance Liquid Chromatography (HPLC) with UV/visible Detector","type":"article-journal","volume":"5"},"uris":["http://www.mendeley.com/documents/?uuid=eec3137f-17d2-4a3b-8e68-cfc90e17b8a2"]},{"id":"ITEM-3","itemData":{"DOI":"10.1016/j.talanta.2014.06.037","ISSN":"00399140","PMID":"25127636","abstract":"A new HPLC column-switching method using large volume sample injection and fused-core columns for on-line solid phase extraction have been developed for the determination of the following carbamates and pyrethroids: aldicarb, carbaryl, pirimicarb, carbofuran, kadethrin, flumethrin, fenpropathrin, fenoxycarb, tau-fluvalinate and fenvalerate, in surface water samples. Sudan I was used as internal standard. The proposed method was performed using 100 μl sample injection followed by an on-line solid phase extraction procedure and finally the compounds were identified and quantified by liquid chromatography with ultraviolet detection. The separation was carried out on C-18 reversed phase column based on fused-core particle technology. The influence of the injected sample volume, the variables affecting to SPE process and the conditions for the separation on an analytical column, were studied and optimized. The limits of detection ranged from 5.5 to 8.9 μg L-1, and limits of quantification from 18.4 to 29.7 μg L-1, while inter- and intra-day variability was under 15%. This new analytical procedure was satisfactorily applied for the determination of these organic pollutants in surface water samples located in Czech Republic. Concentration levels were found for some of these pollutants up to 26.11 μg L-1 in the river Elbe and up to 34.53 μg L-1 in the closed lakes samples. © 2014 Elsevier B.V.","author":[{"dropping-particle":"","family":"Fernández-Ramos","given":"C.","non-dropping-particle":"","parse-names":false,"suffix":""},{"dropping-particle":"","family":"</w:instrText>
      </w:r>
      <w:r w:rsidR="00F660C3">
        <w:rPr>
          <w:rFonts w:ascii="Times New Roman" w:hAnsi="Times New Roman" w:cs="Times New Roman" w:hint="eastAsia"/>
          <w:szCs w:val="21"/>
        </w:rPr>
        <w:instrText>Š</w:instrText>
      </w:r>
      <w:r w:rsidR="00F660C3">
        <w:rPr>
          <w:rFonts w:ascii="Times New Roman" w:hAnsi="Times New Roman" w:cs="Times New Roman"/>
          <w:szCs w:val="21"/>
        </w:rPr>
        <w:instrText>atínský","given":"D.","non-dropping-particle":"","parse-names":false,"suffix":""},{"dropping-particle":"","family":"Solich","given":"P.","non-dropping-particle":"","parse-names":false,"suffix":""}],"container-title":"Talanta","id":"ITEM-3","issued":{"date-parts":[["2014"]]},"page":"579-585","title":"New method for the determination of carbamate and pyrethroid insecticides in water samples using on-line SPE fused core column chromatography","type":"article-journal","volume":"129"},"uris":["http://www.mendeley.com/documents/?uuid=5adb3551-5a92-4f52-94ca-1e4fb511193b"]}],"mendeley":{"formattedCitation":"(Akan et al., 2014; Fernández-Ramos et al., 2014; Ge et al., 2010)","plainTextFormattedCitation":"(Akan et al., 2014; Fernández-Ramos et al., 2014; Ge et al., 2010)","previouslyFormattedCitation":"(Akan et al., 2014; Fernández-Ramos et al., 2014; Ge et al., 2010)"},"properties":{"noteIndex":0},"schema":"https://github.com/citation-style-language/schema/raw/master/csl-citation.json"}</w:instrText>
      </w:r>
      <w:r w:rsidR="00F660C3">
        <w:rPr>
          <w:rFonts w:ascii="Times New Roman" w:hAnsi="Times New Roman" w:cs="Times New Roman"/>
          <w:szCs w:val="21"/>
        </w:rPr>
        <w:fldChar w:fldCharType="separate"/>
      </w:r>
      <w:r w:rsidR="00F660C3" w:rsidRPr="00F660C3">
        <w:rPr>
          <w:rFonts w:ascii="Times New Roman" w:hAnsi="Times New Roman" w:cs="Times New Roman"/>
          <w:noProof/>
          <w:szCs w:val="21"/>
        </w:rPr>
        <w:t>(Akan et al., 2014; Fernández-Ramos et al., 2014; Ge et al., 2010)</w:t>
      </w:r>
      <w:r w:rsidR="00F660C3">
        <w:rPr>
          <w:rFonts w:ascii="Times New Roman" w:hAnsi="Times New Roman" w:cs="Times New Roman"/>
          <w:szCs w:val="21"/>
        </w:rPr>
        <w:fldChar w:fldCharType="end"/>
      </w:r>
      <w:r w:rsidR="00EC4C2E">
        <w:rPr>
          <w:rFonts w:ascii="Times New Roman" w:eastAsia="宋体" w:hAnsi="Times New Roman" w:cs="Times New Roman"/>
          <w:szCs w:val="21"/>
        </w:rPr>
        <w:t>,</w:t>
      </w:r>
      <w:r w:rsidR="002B484E">
        <w:rPr>
          <w:rFonts w:ascii="Times New Roman" w:eastAsia="宋体" w:hAnsi="Times New Roman" w:cs="Times New Roman"/>
          <w:szCs w:val="21"/>
        </w:rPr>
        <w:t xml:space="preserve"> </w:t>
      </w:r>
      <w:r w:rsidR="00830D7E">
        <w:rPr>
          <w:rFonts w:ascii="Times New Roman" w:hAnsi="Times New Roman" w:cs="Times New Roman" w:hint="eastAsia"/>
          <w:szCs w:val="21"/>
        </w:rPr>
        <w:t>even</w:t>
      </w:r>
      <w:r w:rsidR="00EC4C2E">
        <w:rPr>
          <w:rFonts w:ascii="Times New Roman" w:hAnsi="Times New Roman" w:cs="Times New Roman"/>
          <w:szCs w:val="21"/>
        </w:rPr>
        <w:t xml:space="preserve"> widely</w:t>
      </w:r>
      <w:r>
        <w:rPr>
          <w:rFonts w:ascii="Times New Roman" w:hAnsi="Times New Roman" w:cs="Times New Roman" w:hint="eastAsia"/>
          <w:szCs w:val="21"/>
        </w:rPr>
        <w:t xml:space="preserve"> detected in </w:t>
      </w:r>
      <w:r w:rsidR="002B484E">
        <w:rPr>
          <w:rFonts w:ascii="Times New Roman" w:hAnsi="Times New Roman" w:cs="Times New Roman"/>
          <w:szCs w:val="21"/>
        </w:rPr>
        <w:t xml:space="preserve">kinds of organisms, such as </w:t>
      </w:r>
      <w:r w:rsidR="00A340BF">
        <w:rPr>
          <w:rFonts w:ascii="Times New Roman" w:hAnsi="Times New Roman" w:cs="Times New Roman" w:hint="eastAsia"/>
          <w:szCs w:val="21"/>
        </w:rPr>
        <w:t>fish,</w:t>
      </w:r>
      <w:r w:rsidR="00A340BF">
        <w:rPr>
          <w:rFonts w:ascii="Times New Roman" w:hAnsi="Times New Roman" w:cs="Times New Roman"/>
          <w:szCs w:val="21"/>
        </w:rPr>
        <w:t xml:space="preserve"> </w:t>
      </w:r>
      <w:r>
        <w:rPr>
          <w:rFonts w:ascii="Times New Roman" w:hAnsi="Times New Roman" w:cs="Times New Roman" w:hint="eastAsia"/>
          <w:szCs w:val="21"/>
        </w:rPr>
        <w:t xml:space="preserve">amphibian and humans </w:t>
      </w:r>
      <w:r w:rsidR="00F660C3">
        <w:rPr>
          <w:rFonts w:ascii="Times New Roman" w:hAnsi="Times New Roman" w:cs="Times New Roman"/>
          <w:szCs w:val="21"/>
          <w:vertAlign w:val="superscript"/>
        </w:rPr>
        <w:fldChar w:fldCharType="begin" w:fldLock="1"/>
      </w:r>
      <w:r w:rsidR="00F660C3">
        <w:rPr>
          <w:rFonts w:ascii="Times New Roman" w:hAnsi="Times New Roman" w:cs="Times New Roman"/>
          <w:szCs w:val="21"/>
          <w:vertAlign w:val="superscript"/>
        </w:rPr>
        <w:instrText>ADDIN CSL_CITATION {"citationItems":[{"id":"ITEM-1","itemData":{"DOI":"10.1007/s00216-010-3786-5","ISSN":"16182642","PMID":"20473485","abstract":"The application of the quick easy cheap effective rugged and safe (QuEChERS) method has generally been used in the preparation of produce samples (e.g., lettuce and oranges) for pesticide analysis. In the present study, the QuEChERS method was successfully applied to the determination of the natural pyrethrins (cinerin I and II, jasmolin I and II, and pyrethrin I and II), as well as two pyrethroid insecticides, cypermethrin and deltamethrin, in fin and non-fin fish products. Analysis of these compounds was performed using gas chromatography-mass spectrometry. Although cypermethrin is not and has not been registered for pest control use in aquaculture operations in Canada, cypermethrin was detected in domestically produced salmon. Cypermethrin was detected in seven of the 18 Canadian farmed salmon samples (39%), although it was not detected in any wild domestic salmon (n = 3). Cypermethrin concentrations ranged from 0.3 to 6.5 ng/g in the positive samples. It was not, however, observed in any imported fish product or any other domestically produced fish product. © 2010 Crown copyright in right of Canada.","author":[{"dropping-particle":"","family":"Rawn","given":"Dorothea F.K.","non-dropping-particle":"","parse-names":false,"suffix":""},{"dropping-particle":"","family":"Judge","given":"Judy","non-dropping-particle":"","parse-names":false,"suffix":""},{"dropping-particle":"","family":"Roscoe","given":"Veronica","non-dropping-particle":"","parse-names":false,"suffix":""}],"container-title":"Analytical and Bioanalytical Chemistry","id":"ITEM-1","issue":"6","issued":{"date-parts":[["2010"]]},"page":"2525-2531","title":"Application of the QuEChERS method for the analysis of pyrethrins and pyrethroids in fish tissues","type":"article-journal","volume":"397"},"uris":["http://www.mendeley.com/documents/?uuid=6d1f8fb2-ae5f-4320-87d9-9abe39c6e5c0"]},{"id":"ITEM-2","itemData":{"DOI":"10.1016/j.scitotenv.2017.11.355","ISSN":"18791026","PMID":"29220776","abstract":"Isotope dilution solid phase extraction UPLC-MS/MS has been used to develop a robust and rapid methodology for the determination of eight specific metabolites of organophosphate and pyrethroid pesticides in human urine. The use of methanol:acetone (25:75 v/v) affords an improvement in extraction efficiency in comparison to these individual solvents. The use of synthetic urine improves selectivity and limits of detection for the calibration straight lines. The method provides detection limits of 14–69 pg/ml and 18–19 pg/ml for the organophosphate and pyrethroid metabolites, respectively. Urine analyses of these metabolites in urban non-occupationally exposed individuals and farm workers shows that ingestion of these pesticides occurred in both populations. The concentrations of organophosphate pesticide metabolites in the latter were twofold than those from non-exposed populations.","author":[{"dropping-particle":"","family":"Garí","given":"Mercè","non-dropping-particle":"","parse-names":false,"suffix":""},{"dropping-particle":"","family":"González-Quinteiro","given":"Yolanda","non-dropping-particle":"","parse-names":false,"suffix":""},{"dropping-particle":"","family":"Bravo","given":"Natalia","non-dropping-particle":"","parse-names":false,"suffix":""},{"dropping-particle":"","family":"Grimalt","given":"Joan O.","non-dropping-particle":"","parse-names":false,"suffix":""}],"container-title":"Science of the Total Environment","id":"ITEM-2","issued":{"date-parts":[["2018"]]},"page":"526-533","publisher":"Elsevier B.V.","title":"Analysis of metabolites of organophosphate and pyrethroid pesticides in human urine from urban and agricultural populations (Catalonia and Galicia)","type":"article-journal","volume":"622-623"},"uris":["http://www.mendeley.com/documents/?uuid=fcea920c-c108-4a89-aedb-fa2a14a255de"]}],"mendeley":{"formattedCitation":"(Garí et al., 2018; Rawn et al., 2010)","plainTextFormattedCitation":"(Garí et al., 2018; Rawn et al., 2010)","previouslyFormattedCitation":"(Garí et al., 2018; Rawn et al., 2010)"},"properties":{"noteIndex":0},"schema":"https://github.com/citation-style-language/schema/raw/master/csl-citation.json"}</w:instrText>
      </w:r>
      <w:r w:rsidR="00F660C3">
        <w:rPr>
          <w:rFonts w:ascii="Times New Roman" w:hAnsi="Times New Roman" w:cs="Times New Roman"/>
          <w:szCs w:val="21"/>
          <w:vertAlign w:val="superscript"/>
        </w:rPr>
        <w:fldChar w:fldCharType="separate"/>
      </w:r>
      <w:r w:rsidR="00F660C3" w:rsidRPr="00F660C3">
        <w:rPr>
          <w:rFonts w:ascii="Times New Roman" w:hAnsi="Times New Roman" w:cs="Times New Roman"/>
          <w:noProof/>
          <w:szCs w:val="21"/>
        </w:rPr>
        <w:t>(Garí et al., 2018; Rawn et al., 2010)</w:t>
      </w:r>
      <w:r w:rsidR="00F660C3">
        <w:rPr>
          <w:rFonts w:ascii="Times New Roman" w:hAnsi="Times New Roman" w:cs="Times New Roman"/>
          <w:szCs w:val="21"/>
          <w:vertAlign w:val="superscript"/>
        </w:rPr>
        <w:fldChar w:fldCharType="end"/>
      </w:r>
      <w:r>
        <w:rPr>
          <w:rFonts w:ascii="Times New Roman" w:hAnsi="Times New Roman" w:cs="Times New Roman" w:hint="eastAsia"/>
          <w:szCs w:val="21"/>
        </w:rPr>
        <w:t>.</w:t>
      </w:r>
      <w:r w:rsidR="00465AB3" w:rsidRPr="00465AB3">
        <w:rPr>
          <w:rFonts w:ascii="Times New Roman" w:hAnsi="Times New Roman" w:cs="Times New Roman"/>
          <w:szCs w:val="21"/>
        </w:rPr>
        <w:t xml:space="preserve"> </w:t>
      </w:r>
      <w:r w:rsidR="00676BEE">
        <w:rPr>
          <w:rFonts w:ascii="Times New Roman" w:hAnsi="Times New Roman" w:cs="Times New Roman"/>
          <w:szCs w:val="21"/>
        </w:rPr>
        <w:t>C</w:t>
      </w:r>
      <w:r w:rsidR="00676BEE" w:rsidRPr="00FC3758">
        <w:rPr>
          <w:rFonts w:ascii="Times New Roman" w:hAnsi="Times New Roman" w:cs="Times New Roman"/>
          <w:szCs w:val="21"/>
        </w:rPr>
        <w:t>hronic</w:t>
      </w:r>
      <w:r w:rsidR="00676BEE">
        <w:rPr>
          <w:rFonts w:ascii="Times New Roman" w:hAnsi="Times New Roman" w:cs="Times New Roman" w:hint="eastAsia"/>
          <w:szCs w:val="21"/>
        </w:rPr>
        <w:t xml:space="preserve"> </w:t>
      </w:r>
      <w:r>
        <w:rPr>
          <w:rFonts w:ascii="Times New Roman" w:hAnsi="Times New Roman" w:cs="Times New Roman" w:hint="eastAsia"/>
          <w:szCs w:val="21"/>
        </w:rPr>
        <w:t>exposure may cause adverse reactions, including tissue structure lesions, neurotoxicity, behavioral changes, endocrine disorders, decreased immune ability, and decreased growth and development</w:t>
      </w:r>
      <w:r w:rsidR="00676BEE">
        <w:rPr>
          <w:rFonts w:ascii="Times New Roman" w:hAnsi="Times New Roman" w:cs="Times New Roman"/>
          <w:szCs w:val="21"/>
        </w:rPr>
        <w:t xml:space="preserve"> </w:t>
      </w:r>
      <w:r w:rsidR="00F660C3">
        <w:rPr>
          <w:rFonts w:ascii="Times New Roman" w:hAnsi="Times New Roman" w:cs="Times New Roman"/>
          <w:szCs w:val="21"/>
          <w:vertAlign w:val="superscript"/>
        </w:rPr>
        <w:fldChar w:fldCharType="begin" w:fldLock="1"/>
      </w:r>
      <w:r w:rsidR="00F660C3">
        <w:rPr>
          <w:rFonts w:ascii="Times New Roman" w:hAnsi="Times New Roman" w:cs="Times New Roman"/>
          <w:szCs w:val="21"/>
          <w:vertAlign w:val="superscript"/>
        </w:rPr>
        <w:instrText>ADDIN CSL_CITATION {"citationItems":[{"id":"ITEM-1","itemData":{"DOI":"10.1039/c7tx00205j","ISSN":"20454538","abstract":"Extensive use of synthetic pyrethroids has resulted in serious human health issues. Induction of oxidative stress is an important mechanism of action of most pesticides including pyrethroids. In the present study, we have elucidated the possible role of oxidative stress in bifenthrin-induced neurotoxicity. Adult male Wistar rats were administered bifenthrin (3.5 and 7 mg per kg body weight p.o.) for 30 days. Behavioral studies were conducted on a set of randomly selected rats from each treatment group after completion of treatment. Neurochemical parameters were assessed 24 h after the last dose was administered. The selected behavioral and neurochemical endpoints were also assessed 15 days after cessation of exposure to reveal whether the neurobehavioral changes produced by bifenthrin were temporary or permanent. Deficits in motor activity, motor incoordination, and cognitive impairment were observed after exposure to bifenthrin. Levels of biogenic amines viz. dopamine (DA) and its metabolites, i.e. 3,4-dihydroxyphenylacetic acid (DOPAC) and homovanillic acid (HVA), epinephrine (EPN), norepinephrine (NE), and serotonin (5-HT) altered in the frontal cortex, corpus striatum, and hippocampus of bifenthrin-treated rats. A decrease in the activity of acetylcholinesterase (AChE) occurred in all regions of the brain. Both doses of bifenthrin significantly induced lipid peroxidation (LPO) and increased protein carbonyl levels in the frontal cortex, corpus striatum, and hippocampus of rats. The activities of antioxidant enzymes, i.e. catalase, superoxide dismutase, and glutathione peroxidase, were also suppressed in all selected regions of the brain. A trend of recovery was, however, observed in all the behavioral and neurochemical endpoints 15 days after withdrawal of exposure. Oxidative stress seems to play an important role in bifenthrin-induced neurotoxicity. Our study suggests that long-term exposure to these compounds can produce detrimental effects.","author":[{"dropping-particle":"","family":"Syed","given":"Farah","non-dropping-particle":"","parse-names":false,"suffix":""},{"dropping-particle":"","family":"Awasthi","given":"Kumud K.","non-dropping-particle":"","parse-names":false,"suffix":""},{"dropping-particle":"","family":"Chandravanshi","given":"Lalit P.","non-dropping-particle":"","parse-names":false,"suffix":""},{"dropping-particle":"","family":"Verma","given":"Rajbala","non-dropping-particle":"","parse-names":false,"suffix":""},{"dropping-particle":"","family":"Rajawat","given":"Neelu K.","non-dropping-particle":"","parse-names":false,"suffix":""},{"dropping-particle":"","family":"Khanna","given":"Vinay K.","non-dropping-particle":"","parse-names":false,"suffix":""},{"dropping-particle":"","family":"John","given":"P. J.","non-dropping-particle":"","parse-names":false,"suffix":""},{"dropping-particle":"","family":"Soni","given":"Inderpal","non-dropping-particle":"","parse-names":false,"suffix":""}],"container-title":"Toxicology Research","id":"ITEM-1","issue":"1","issued":{"date-parts":[["2018"]]},"page":"48-58","publisher":"Royal Society of Chemistry","title":"Bifenthrin-induced neurotoxicity in rats: Involvement of oxidative stress","type":"article-journal","volume":"7"},"uris":["http://www.mendeley.com/documents/?uuid=ab7c00b5-cddc-4bc6-b466-4f605b06ed86"]},{"id":"ITEM-2","itemData":{"DOI":"10.1016/j.chemosphere.2018.12.026","ISSN":"18791298","PMID":"30553213","abstract":"Pyrethroids are potent neurotoxicants that may elicit multiple pathways of toxicity in non-target organisms. Comparative studies on the mechanistic and developmental effects of types I and II pyrethroids against non-target aquatic species are limited. This study assessed the effects of the two pyrethroid types against embryo-larval zebrafish (Danio rerio) at environmentally relevant and laboratory concentrations. Zebrafish embryos were exposed to type-I (permethrin, bifenthrin) and type-II (deltamethrin, λ-cyhalothrin, fenvalerate, esfenvalerate) pyrethroids at 1000, 10, 0.1, 0.01, 0.0 μg/L, starting at 5-h post-fertilization (hpf) through 5-d post-fertilization (dpf) under static exposure conditions. Swimming behavior (distance traveled and velocity) was assessed at 5-dpf. The relative expression of Nrf2a, GST, Casp-9 and p53 mRNA transcripts, carboxyl esterase (CES) activity and total reactive oxygen species (ROS) were measured. The stability of the pyrethroids across 5 days was analyzed. Bifenthrin-(10 μg/L) and esfenvalerate-(1000 μg/L) significantly (p &lt; 0.05) reduced total distance traveled by larvae while 1000 μg/L deltamethrin and λ-cyhalothrin were lethal causing body axis curvature and pericardial edema. At environmentally relevant concentrations-(μg/L) compared to control, permethrin-(0.122) upregulated Nrf2a and Casp-9 expressions while λ-cyhalothrin-(0.053) downregulated Nrf2a and fenvalerate-0.037 downregulated GST. At laboratory concentrations-(μg/L), permethrin-(1000) upregulated Nrf2a, Casp-9 and p53 expressions, bifenthrin-(10) upregulated Casp-9 while fenvalerate-(0.1) and esfenvalerate-(1000) downregulated GST. There was concentration dependent increase in CES activity which correlated positively with total ROS. Pyrethroid concentrations decreased significantly by day 5. This study showed disparity in the mechanistic effects across the pyrethroids types and their instability in aqueous media may underestimate toxicity against non-target aquatic species when exposed in their natural environment.","author":[{"dropping-particle":"","family":"Awoyemi","given":"Olushola M.","non-dropping-particle":"","parse-names":false,"suffix":""},{"dropping-particle":"","family":"Kumar","given":"Naveen","non-dropping-particle":"","parse-names":false,"suffix":""},{"dropping-particle":"","family":"Schmitt","given":"Cassandra","non-dropping-particle":"","parse-names":false,"suffix":""},{"dropping-particle":"","family":"Subbiah","given":"Seenivasan","non-dropping-particle":"","parse-names":false,"suffix":""},{"dropping-particle":"","family":"Crago","given":"Jordan","non-dropping-particle":"","parse-names":false,"suffix":""}],"container-title":"Chemosphere","id":"ITEM-2","issued":{"date-parts":[["2019"]]},"page":"526-537","publisher":"Elsevier Ltd","title":"Behavioral, molecular and physiological responses of embryo-larval zebrafish exposed to types I and II pyrethroids","type":"article-journal","volume":"219"},"uris":["http://www.mendeley.com/documents/?uuid=c5dd6b86-176c-4b9d-99eb-f40f27db4e70"]},{"id":"ITEM-3","itemData":{"DOI":"10.1016/j.fsi.2012.11.046","ISSN":"10959947","PMID":"23261506","abstract":"Cis-bifenthrin (cis-BF) is used widely for agricultural and non-agricultural purpose. Thus, cis-BF is one of the most frequently detected insecticides in the aquatic ecosystem. As a chiral pesticide, the commercial cis-BF contained two enantiomers including 1R-. cis-BF and 1S-. cis-BF. However, the difference in inducing oxidative stress, apoptosis and immunotoxicity by the two enantiomers in zebrafish still remains unclear. In the present study, the zebrafish were exposed to environmental concentrations of cis-BF, 1R-. cis-BF and 1S-. cis-BF during the embryos developmental stage. We observed that the mRNA levels of the most genes related to oxidative stress, apoptosis and immunotoxicity including Cu/Zn-superoxide dismutase (Cu/Zn-Sod), catalase (Cat), P53, murine double minute 2 (Mdm2), B-cell lymphoma/leukaemia-2 gene (Bcl2), Bcl2 associated X protein (Bax), apoptotic protease activating factor-1 (Apaf1), Caspase 9 (Cas9), Caspase 3 (Cas3), interleukin-1 beta (IL-1β) and interleukin-8(Il-8) were much higher in 1S-. cis-BF treated group than those in cis-BF or 1R-. cis-BF treated ones, suggesting that 1S-. cis-BF has higher risk to induced oxidative stress, apoptosis and immunotoxicity than 1R-. cis-BF in zebrafish. The information presented in this study will help with elucidating the differences and environmental risk of the two enantiomers of cis-BF-induced toxicity in aquatic organisms. © 2012 Elsevier Ltd.","author":[{"dropping-particle":"","family":"Jin","given":"Yuanxiang","non-dropping-particle":"","parse-names":false,"suffix":""},{"dropping-particle":"","family":"Pan","given":"Xiuhong","non-dropping-particle":"","parse-names":false,"suffix":""},{"dropping-particle":"","family":"Cao","given":"Limin","non-dropping-particle":"","parse-names":false,"suffix":""},{"dropping-particle":"","family":"Ma","given":"Bufang","non-dropping-particle":"","parse-names":false,"suffix":""},{"dropping-particle":"","family":"Fu","given":"Zhengwei","non-dropping-particle":"","parse-names":false,"suffix":""}],"container-title":"Fish and Shellfish Immunology","id":"ITEM-3","issue":"2","issued":{"date-parts":[["2013"]]},"page":"717-723","publisher":"Elsevier Ltd","title":"Embryonic exposure to cis-bifenthrin enantioselectively induces the transcription of genes related to oxidative stress, apoptosis and immunotoxicity in zebrafish (Danio rerio)","type":"article-journal","volume":"34"},"uris":["http://www.mendeley.com/documents/?uuid=0a25f2e8-dbd6-4a8f-ad54-a941272af20f"]},{"id":"ITEM-4","itemData":{"DOI":"10.1016/j.etap.2020.103347","ISSN":"18727077","PMID":"32058321","abstract":"Alpha-cypermethrin (ACy) is a synthetic pyrethroid insecticide commonly used in agricultural practices for controlling a broad range of insect pests particularly belonging to the order Lepidoptera and Coleoptera. The present study aims to evaluate the toxic effect of ACy on microalgae by studying its influence on Chlorella sp. According to our knowledge, this is the first detailed study of ACy toxicity on microalgae. Significant growth inhibition of Chlorella sp. was observed at high ACy concentration (6−48 mg L−1) during the entire 96 h bioassay. The 96 h median effective concentration (EC50) of ACy was estimated to be 11.00 mg L−1. Flow cytometry analysis showed an enhanced generation of reactive oxygen species (ROS) and intracellular lipid accumulation after 96 h exposure to 11.00 mg L-1 of ACy. Further, the same ACy concentration showed a significant decrease in photosynthetic pigment content and an increase in antioxidant enzyme activity and malondialdehyde (MDA) content in Chlorella sp.","author":[{"dropping-particle":"","family":"Baruah","given":"Prithu","non-dropping-particle":"","parse-names":false,"suffix":""},{"dropping-particle":"","family":"Chaurasia","given":"Neha","non-dropping-particle":"","parse-names":false,"suffix":""}],"container-title":"Environmental Toxicology and Pharmacology","id":"ITEM-4","issue":"March 2019","issued":{"date-parts":[["2020"]]},"page":"103347","publisher":"Elsevier","title":"Ecotoxicological effects of alpha-cypermethrin on freshwater alga Chlorella sp.: Growth inhibition and oxidative stress studies","type":"article-journal","volume":"76"},"uris":["http://www.mendeley.com/documents/?uuid=e2ecfc07-47ec-4dfd-94c5-9c9ceb0ac38e"]}],"mendeley":{"formattedCitation":"(Awoyemi et al., 2019; Baruah and Chaurasia, 2020; Jin et al., 2013; Syed et al., 2018)","plainTextFormattedCitation":"(Awoyemi et al., 2019; Baruah and Chaurasia, 2020; Jin et al., 2013; Syed et al., 2018)","previouslyFormattedCitation":"(Awoyemi et al., 2019; Baruah and Chaurasia, 2020; Jin et al., 2013; Syed et al., 2018)"},"properties":{"noteIndex":0},"schema":"https://github.com/citation-style-language/schema/raw/master/csl-citation.json"}</w:instrText>
      </w:r>
      <w:r w:rsidR="00F660C3">
        <w:rPr>
          <w:rFonts w:ascii="Times New Roman" w:hAnsi="Times New Roman" w:cs="Times New Roman"/>
          <w:szCs w:val="21"/>
          <w:vertAlign w:val="superscript"/>
        </w:rPr>
        <w:fldChar w:fldCharType="separate"/>
      </w:r>
      <w:r w:rsidR="00F660C3" w:rsidRPr="00F660C3">
        <w:rPr>
          <w:rFonts w:ascii="Times New Roman" w:hAnsi="Times New Roman" w:cs="Times New Roman"/>
          <w:noProof/>
          <w:szCs w:val="21"/>
        </w:rPr>
        <w:t>(Awoyemi et al., 2019; Baruah and Chaurasia, 2020; Jin et al., 2013; Syed et al., 2018)</w:t>
      </w:r>
      <w:r w:rsidR="00F660C3">
        <w:rPr>
          <w:rFonts w:ascii="Times New Roman" w:hAnsi="Times New Roman" w:cs="Times New Roman"/>
          <w:szCs w:val="21"/>
          <w:vertAlign w:val="superscript"/>
        </w:rPr>
        <w:fldChar w:fldCharType="end"/>
      </w:r>
      <w:r>
        <w:rPr>
          <w:rFonts w:ascii="Times New Roman" w:hAnsi="Times New Roman" w:cs="Times New Roman" w:hint="eastAsia"/>
          <w:szCs w:val="21"/>
        </w:rPr>
        <w:t xml:space="preserve">. </w:t>
      </w:r>
      <w:bookmarkStart w:id="3" w:name="OLE_LINK2"/>
      <w:bookmarkEnd w:id="3"/>
      <w:r w:rsidR="00676BEE" w:rsidRPr="0083523B">
        <w:rPr>
          <w:rFonts w:ascii="Times New Roman" w:hAnsi="Times New Roman" w:cs="Times New Roman"/>
          <w:szCs w:val="21"/>
        </w:rPr>
        <w:t>This is also one of the important reasons for the decline of amphibian populations</w:t>
      </w:r>
      <w:r w:rsidR="00676BEE">
        <w:rPr>
          <w:rFonts w:ascii="Times New Roman" w:hAnsi="Times New Roman" w:cs="Times New Roman" w:hint="eastAsia"/>
          <w:szCs w:val="21"/>
        </w:rPr>
        <w:t xml:space="preserve"> </w:t>
      </w:r>
      <w:r w:rsidR="00F660C3">
        <w:rPr>
          <w:rFonts w:ascii="Times New Roman" w:hAnsi="Times New Roman" w:cs="Times New Roman"/>
          <w:szCs w:val="21"/>
          <w:vertAlign w:val="superscript"/>
        </w:rPr>
        <w:fldChar w:fldCharType="begin" w:fldLock="1"/>
      </w:r>
      <w:r w:rsidR="0097069E">
        <w:rPr>
          <w:rFonts w:ascii="Times New Roman" w:hAnsi="Times New Roman" w:cs="Times New Roman"/>
          <w:szCs w:val="21"/>
          <w:vertAlign w:val="superscript"/>
        </w:rPr>
        <w:instrText>ADDIN CSL_CITATION {"citationItems":[{"id":"ITEM-1","itemData":{"DOI":"10.1038/nature10650","ISSN":"00280836","PMID":"22089134","abstract":"Amphibian population declines far exceed those of other vertebrate groups, with 30% of all species listed as threatened by the International Union for Conservation of Nature. The causes of these declines are a matter of continued research, but probably include climate change, land-use change and spread of the pathogenic fungal disease chytridiomycosis. Here we assess the spatial distribution and interactions of these primary threats in relation to the global distribution of amphibian species. We show that the greatest proportions of species negatively affected by climate change are projected to be found in Africa, parts of northern South America and the Andes. Regions with the highest projected impact of land-use and climate change coincide, but there is little spatial overlap with regions highly threatened by the fungal disease. Overall, the areas harbouring the richest amphibian faunas are disproportionately more affected by one or multiple threat factors than areas with low richness. Amphibian declines are likely to accelerate in the twenty-first century, because multiple drivers of extinction could jeopardize their populations more than previous, mono-causal, assessments have suggested. © 2011 Macmillan Publishers Limited. All rights reserved.","author":[{"dropping-particle":"","family":"Hof","given":"Christian","non-dropping-particle":"","parse-names":false,"suffix":""},{"dropping-particle":"","family":"Araújo","given":"Miguel B.","non-dropping-particle":"","parse-names":false,"suffix":""},{"dropping-particle":"","family":"Jetz","given":"Walter","non-dropping-particle":"","parse-names":false,"suffix":""},{"dropping-particle":"","family":"Rahbek","given":"Carsten","non-dropping-particle":"","parse-names":false,"suffix":""}],"container-title":"Nature","id":"ITEM-1","issue":"7378","issued":{"date-parts":[["2011"]]},"page":"516-519","title":"Additive threats from pathogens, climate and land-use change for global amphibian diversity","type":"article-journal","volume":"480"},"uris":["http://www.mendeley.com/documents/?uuid=bf486eb2-2c32-4891-8ab0-8eb0d24cc7d0"]},{"id":"ITEM-2","itemData":{"DOI":"10.1242/jeb.040865","ISSN":"00220949","PMID":"20190117","abstract":"Greater than 70% of the world's amphibian species are in decline. We propose that there is probably not a single cause for global amphibian declines and present a three-tiered hierarchical approach that addresses interactions among and between ultimate and proximate factors that contribute to amphibian declines. There are two immediate (proximate) causes of amphibian declines: death and decreased recruitment (reproductive failure). Although much attention has focused on death, few studies have addressed factors that contribute to declines as a result of failed recruitment. Further, a great deal of attention has focused on the role of pathogens in inducing diseases that cause death, but we suggest that pathogen success is profoundly affected by four other ultimate factors: atmospheric change, environmental pollutants, habitat modification and invasive species. Environmental pollutants arise as likely important factors in amphibian declines because they have realized potential to affect recruitment. Further, many studies have documented immunosuppressive effects of pesticides, suggesting a role for environmental contaminants in increased pathogen virulence and disease rates. Increased attention to recruitment and ultimate factors that interact with pathogens is important in addressing this global crisis. © 2010, Published by The Company of Biologists Ltd.","author":[{"dropping-particle":"","family":"Hayes","given":"T. B.","non-dropping-particle":"","parse-names":false,"suffix":""},{"dropping-particle":"","family":"Falso","given":"P.","non-dropping-particle":"","parse-names":false,"suffix":""},{"dropping-particle":"","family":"Gallipeau","given":"S.","non-dropping-particle":"","parse-names":false,"suffix":""},{"dropping-particle":"","family":"Stice","given":"M.","non-dropping-particle":"","parse-names":false,"suffix":""}],"container-title":"The Journal of Experimental Biology","id":"ITEM-2","issue":"6","issued":{"date-parts":[["2010"]]},"page":"921-933","title":"The cause of global amphibian declines: A developmental endocrinologist's perspective","type":"article-journal","volume":"213"},"uris":["http://www.mendeley.com/documents/?uuid=557eafe0-64bd-4ee5-8aa1-8611120bbc74"]}],"mendeley":{"formattedCitation":"(Hayes et al., 2010; Hof et al., 2011)","plainTextFormattedCitation":"(Hayes et al., 2010; Hof et al., 2011)","previouslyFormattedCitation":"(Hayes et al., 2010; Hof et al., 2011)"},"properties":{"noteIndex":0},"schema":"https://github.com/citation-style-language/schema/raw/master/csl-citation.json"}</w:instrText>
      </w:r>
      <w:r w:rsidR="00F660C3">
        <w:rPr>
          <w:rFonts w:ascii="Times New Roman" w:hAnsi="Times New Roman" w:cs="Times New Roman"/>
          <w:szCs w:val="21"/>
          <w:vertAlign w:val="superscript"/>
        </w:rPr>
        <w:fldChar w:fldCharType="separate"/>
      </w:r>
      <w:r w:rsidR="00F660C3" w:rsidRPr="00F660C3">
        <w:rPr>
          <w:rFonts w:ascii="Times New Roman" w:hAnsi="Times New Roman" w:cs="Times New Roman"/>
          <w:noProof/>
          <w:szCs w:val="21"/>
        </w:rPr>
        <w:t>(Hayes et al., 2010; Hof et al., 2011)</w:t>
      </w:r>
      <w:r w:rsidR="00F660C3">
        <w:rPr>
          <w:rFonts w:ascii="Times New Roman" w:hAnsi="Times New Roman" w:cs="Times New Roman"/>
          <w:szCs w:val="21"/>
          <w:vertAlign w:val="superscript"/>
        </w:rPr>
        <w:fldChar w:fldCharType="end"/>
      </w:r>
      <w:r w:rsidR="00676BEE" w:rsidRPr="0083523B">
        <w:rPr>
          <w:rFonts w:ascii="Times New Roman" w:hAnsi="Times New Roman" w:cs="Times New Roman"/>
          <w:szCs w:val="21"/>
        </w:rPr>
        <w:t>.</w:t>
      </w:r>
    </w:p>
    <w:p w14:paraId="03EA3CEF" w14:textId="08D4EA36" w:rsidR="00950088" w:rsidRDefault="00000000" w:rsidP="00FC3758">
      <w:pPr>
        <w:pStyle w:val="af"/>
        <w:widowControl/>
        <w:shd w:val="clear" w:color="auto" w:fill="FFFFFF"/>
        <w:suppressAutoHyphens/>
        <w:spacing w:line="360" w:lineRule="auto"/>
        <w:rPr>
          <w:rFonts w:ascii="Times New Roman" w:hAnsi="Times New Roman" w:cs="Times New Roman"/>
          <w:szCs w:val="21"/>
        </w:rPr>
      </w:pPr>
      <w:r>
        <w:rPr>
          <w:rFonts w:ascii="Times New Roman" w:hAnsi="Times New Roman" w:cs="Times New Roman"/>
          <w:szCs w:val="21"/>
        </w:rPr>
        <w:t>The m</w:t>
      </w:r>
      <w:r>
        <w:rPr>
          <w:rFonts w:ascii="Times New Roman" w:hAnsi="Times New Roman" w:cs="Times New Roman" w:hint="eastAsia"/>
          <w:szCs w:val="21"/>
        </w:rPr>
        <w:t>etabolism of pyrethroids</w:t>
      </w:r>
      <w:r>
        <w:rPr>
          <w:rFonts w:ascii="Times New Roman" w:hAnsi="Times New Roman" w:cs="Times New Roman"/>
          <w:szCs w:val="21"/>
        </w:rPr>
        <w:t>,</w:t>
      </w:r>
      <w:r>
        <w:rPr>
          <w:rFonts w:ascii="Times New Roman" w:hAnsi="Times New Roman" w:cs="Times New Roman" w:hint="eastAsia"/>
          <w:szCs w:val="21"/>
        </w:rPr>
        <w:t xml:space="preserve"> such as </w:t>
      </w:r>
      <w:r>
        <w:rPr>
          <w:rFonts w:ascii="Times New Roman" w:hAnsi="Times New Roman" w:cs="Times New Roman"/>
          <w:szCs w:val="21"/>
        </w:rPr>
        <w:t>BF,</w:t>
      </w:r>
      <w:r>
        <w:rPr>
          <w:rFonts w:ascii="Times New Roman" w:hAnsi="Times New Roman" w:cs="Times New Roman" w:hint="eastAsia"/>
          <w:szCs w:val="21"/>
        </w:rPr>
        <w:t xml:space="preserve"> may lead to intracellular reactive oxygen species (ROS) levels rise </w:t>
      </w:r>
      <w:r w:rsidR="0097069E">
        <w:rPr>
          <w:rFonts w:ascii="Times New Roman" w:hAnsi="Times New Roman" w:cs="Times New Roman"/>
          <w:szCs w:val="21"/>
          <w:vertAlign w:val="superscript"/>
        </w:rPr>
        <w:fldChar w:fldCharType="begin" w:fldLock="1"/>
      </w:r>
      <w:r w:rsidR="0097069E">
        <w:rPr>
          <w:rFonts w:ascii="Times New Roman" w:hAnsi="Times New Roman" w:cs="Times New Roman"/>
          <w:szCs w:val="21"/>
          <w:vertAlign w:val="superscript"/>
        </w:rPr>
        <w:instrText>ADDIN CSL_CITATION {"citationItems":[{"id":"ITEM-1","itemData":{"DOI":"10.2174/187231211794455253","ISSN":"18723128","abstract":"Heme oxygenase-1 (HO-1) is induced in most cell types by many forms of environmental stress and is believed to play a protective role in cells exposed to oxidative stress. Metabolism by cytochromes P450 (P450) is highly inefficient as the oxidation of substrate is associated with the production of varying proportions of hydrogen peroxide and/or superoxide. This study tests the hypothesis that heme oxygenase-1 (HO-1) plays a protective role against oxidative stress by competing with P450 for binding to the common redox partner, the NADPH P450 reductase (CPR) and in the process, diminishing P450 metabolism and the associated production of reactive oxygen species (ROS). Liver microsomes were isolated from uninduced rats and rats that were treated with cadmium and/or beta-napthoflavone (BNF) to induce HO-1 and/or CYP1A2. HO-1 induction was associated with slower rates of metabolism of the CYP1A2-specific substrate, 7-ethoxyresorufin. Furthermore, HO-1 induction also was associated with slower rates of hydrogen peroxide and hydroxyl radical production by microsomes from rats induced for CYP1A2. The inhibition associated with HO-1 induction was not dependent on the addition of heme to the microsomal incubations. The effects of HO-1 induction were less dramatic in the absence of substrate for CYP1A2, suggesting that the enzyme was more effective in inhibiting the CYP1A2-related activity than the CPR-related production of superoxide (that dismutates to form hydrogen peroxide).","author":[{"dropping-particle":"","family":"R. Reed","given":"James","non-dropping-particle":"","parse-names":false,"suffix":""},{"dropping-particle":"","family":"F. Cawley","given":"George","non-dropping-particle":"","parse-names":false,"suffix":""},{"dropping-particle":"","family":"L. Backes","given":"Wayne","non-dropping-particle":"","parse-names":false,"suffix":""}],"container-title":"Drug Metabolism Letters","id":"ITEM-1","issue":"1","issued":{"date-parts":[["2011"]]},"page":"6-16","title":"Inhibition of Cytochrome P450 1A2-Mediated Metabolism and Production of Reactive Oxygen Species by Heme Oxygenase-1 in Rat Liver Microsomes","type":"article-journal","volume":"5"},"uris":["http://www.mendeley.com/documents/?uuid=04a68387-3986-46d0-bfb3-6eb62da30d2a"]}],"mendeley":{"formattedCitation":"(R. Reed et al., 2011)","plainTextFormattedCitation":"(R. Reed et al., 2011)","previouslyFormattedCitation":"(R. Reed et al., 2011)"},"properties":{"noteIndex":0},"schema":"https://github.com/citation-style-language/schema/raw/master/csl-citation.json"}</w:instrText>
      </w:r>
      <w:r w:rsidR="0097069E">
        <w:rPr>
          <w:rFonts w:ascii="Times New Roman" w:hAnsi="Times New Roman" w:cs="Times New Roman"/>
          <w:szCs w:val="21"/>
          <w:vertAlign w:val="superscript"/>
        </w:rPr>
        <w:fldChar w:fldCharType="separate"/>
      </w:r>
      <w:r w:rsidR="0097069E" w:rsidRPr="0097069E">
        <w:rPr>
          <w:rFonts w:ascii="Times New Roman" w:hAnsi="Times New Roman" w:cs="Times New Roman"/>
          <w:noProof/>
          <w:szCs w:val="21"/>
        </w:rPr>
        <w:t>(R. Reed et al., 2011)</w:t>
      </w:r>
      <w:r w:rsidR="0097069E">
        <w:rPr>
          <w:rFonts w:ascii="Times New Roman" w:hAnsi="Times New Roman" w:cs="Times New Roman"/>
          <w:szCs w:val="21"/>
          <w:vertAlign w:val="superscript"/>
        </w:rPr>
        <w:fldChar w:fldCharType="end"/>
      </w:r>
      <w:r>
        <w:rPr>
          <w:rFonts w:ascii="Times New Roman" w:hAnsi="Times New Roman" w:cs="Times New Roman" w:hint="eastAsia"/>
          <w:szCs w:val="21"/>
        </w:rPr>
        <w:t xml:space="preserve">. </w:t>
      </w:r>
      <w:r>
        <w:rPr>
          <w:rFonts w:ascii="Times New Roman" w:hAnsi="Times New Roman" w:cs="Times New Roman"/>
          <w:szCs w:val="21"/>
        </w:rPr>
        <w:t xml:space="preserve">Excessive ROS can trigger </w:t>
      </w:r>
      <w:r>
        <w:rPr>
          <w:rFonts w:ascii="Times New Roman" w:hAnsi="Times New Roman" w:cs="Times New Roman" w:hint="eastAsia"/>
          <w:szCs w:val="21"/>
        </w:rPr>
        <w:t>oxidative stress reaction</w:t>
      </w:r>
      <w:r>
        <w:rPr>
          <w:rFonts w:ascii="Times New Roman" w:eastAsia="宋体" w:hAnsi="Times New Roman" w:cs="Times New Roman"/>
          <w:szCs w:val="21"/>
        </w:rPr>
        <w:t>s</w:t>
      </w:r>
      <w:r>
        <w:rPr>
          <w:rFonts w:ascii="Times New Roman" w:eastAsia="宋体" w:hAnsi="Times New Roman" w:cs="Times New Roman" w:hint="eastAsia"/>
          <w:szCs w:val="21"/>
        </w:rPr>
        <w:t xml:space="preserve"> </w:t>
      </w:r>
      <w:r w:rsidR="0097069E">
        <w:rPr>
          <w:rFonts w:ascii="Times New Roman" w:hAnsi="Times New Roman" w:cs="Times New Roman"/>
          <w:szCs w:val="21"/>
          <w:vertAlign w:val="superscript"/>
        </w:rPr>
        <w:fldChar w:fldCharType="begin" w:fldLock="1"/>
      </w:r>
      <w:r w:rsidR="0097069E">
        <w:rPr>
          <w:rFonts w:ascii="Times New Roman" w:hAnsi="Times New Roman" w:cs="Times New Roman"/>
          <w:szCs w:val="21"/>
          <w:vertAlign w:val="superscript"/>
        </w:rPr>
        <w:instrText>ADDIN CSL_CITATION {"citationItems":[{"id":"ITEM-1","itemData":{"DOI":"10.1016/j.jhazmat.2021.127749","ISBN":"0000000299","ISSN":"18733336","PMID":"34844800","abstract":"Dibutyl phthalate (DBP) is one of the most widely used plasticizers with a high concentration in the water. Although the toxicity of DBP on aquatic organisms has become a significant concern in recent years, the effects of DBP on zebrafish (Danio rerio) brain is poorly understood. This study investigated the toxic effects of DBP exposure for 7, 14, 21 and 28 days on zebrafish brain. The results showed that DBP significantly stimulated SOD and CAT activities, increasing MDA and 8-OHdG contents. On the 28th day, the AChE inhibition rates in 0.08, 0.4, 2 mg·L−1 treatment were 13.4%, 11.9%, 14.7%. The trend of Cu/Zn-sod gene variation was consistent with SOD activity, showing “inhibition-activation-inhibition”. The expression of apoptotic genes (caspase-3, p53) showed “inhibition-activation-inhibition”. The integrated biomarker response (IBR) results showed that the IBR values were 4.37, 7.18 and 9.63 in 0.08, 0.4 and 2 mg·L−1 group on the 28th day, presenting a “dose-response” relationship. These findings confirmed that low concentration of DBP induced oxidative damage and genotoxicity in zebrafish brain, which provided an effective toxicological basis for phthalate pollution. Based on above studies, it is of great significance for assessing the harmful effects of DBP with low concentration on aquatic organisms.","author":[{"dropping-particle":"","family":"Jiang","given":"Nan","non-dropping-particle":"","parse-names":false,"suffix":""},{"dropping-particle":"","family":"Song","given":"Peipei","non-dropping-particle":"","parse-names":false,"suffix":""},{"dropping-particle":"","family":"Li","given":"Xianxu","non-dropping-particle":"","parse-names":false,"suffix":""},{"dropping-particle":"","family":"Zhu","given":"Lusheng","non-dropping-particle":"","parse-names":false,"suffix":""},{"dropping-particle":"","family":"Wang","given":"Jinhua","non-dropping-particle":"","parse-names":false,"suffix":""},{"dropping-particle":"","family":"Yin","given":"Xianqiang","non-dropping-particle":"","parse-names":false,"suffix":""},{"dropping-particle":"","family":"Wang","given":"Jun","non-dropping-particle":"","parse-names":false,"suffix":""}],"container-title":"Journal of Hazardous Materials","id":"ITEM-1","issue":"PD","issued":{"date-parts":[["2022"]]},"page":"127749","publisher":"Elsevier B.V.","title":"Dibutyl phthalate induced oxidative stress and genotoxicity on adult zebrafish (Danio rerio) brain","type":"article-journal","volume":"424"},"uris":["http://www.mendeley.com/documents/?uuid=6c8c48da-5212-466d-8d44-f032d66886ea"]}],"mendeley":{"formattedCitation":"(Jiang et al., 2022)","plainTextFormattedCitation":"(Jiang et al., 2022)","previouslyFormattedCitation":"(Jiang et al., 2022)"},"properties":{"noteIndex":0},"schema":"https://github.com/citation-style-language/schema/raw/master/csl-citation.json"}</w:instrText>
      </w:r>
      <w:r w:rsidR="0097069E">
        <w:rPr>
          <w:rFonts w:ascii="Times New Roman" w:hAnsi="Times New Roman" w:cs="Times New Roman"/>
          <w:szCs w:val="21"/>
          <w:vertAlign w:val="superscript"/>
        </w:rPr>
        <w:fldChar w:fldCharType="separate"/>
      </w:r>
      <w:r w:rsidR="0097069E" w:rsidRPr="0097069E">
        <w:rPr>
          <w:rFonts w:ascii="Times New Roman" w:hAnsi="Times New Roman" w:cs="Times New Roman"/>
          <w:noProof/>
          <w:szCs w:val="21"/>
        </w:rPr>
        <w:t>(Jiang et al., 2022)</w:t>
      </w:r>
      <w:r w:rsidR="0097069E">
        <w:rPr>
          <w:rFonts w:ascii="Times New Roman" w:hAnsi="Times New Roman" w:cs="Times New Roman"/>
          <w:szCs w:val="21"/>
          <w:vertAlign w:val="superscript"/>
        </w:rPr>
        <w:fldChar w:fldCharType="end"/>
      </w:r>
      <w:r>
        <w:rPr>
          <w:rFonts w:ascii="Times New Roman" w:eastAsia="宋体" w:hAnsi="Times New Roman" w:cs="Times New Roman"/>
          <w:szCs w:val="21"/>
        </w:rPr>
        <w:t xml:space="preserve">, leading to oxidative DNA and tissue damage, </w:t>
      </w:r>
      <w:r w:rsidR="002823F0">
        <w:rPr>
          <w:rFonts w:ascii="Times New Roman" w:eastAsia="宋体" w:hAnsi="Times New Roman" w:cs="Times New Roman"/>
          <w:szCs w:val="21"/>
        </w:rPr>
        <w:t xml:space="preserve">causing </w:t>
      </w:r>
      <w:r>
        <w:rPr>
          <w:rFonts w:ascii="Times New Roman" w:eastAsia="宋体" w:hAnsi="Times New Roman" w:cs="Times New Roman"/>
          <w:szCs w:val="21"/>
        </w:rPr>
        <w:t xml:space="preserve">tissue structural abnormalities and behavioral damage, and </w:t>
      </w:r>
      <w:r>
        <w:rPr>
          <w:rFonts w:ascii="Times New Roman" w:hAnsi="Times New Roman" w:cs="Times New Roman" w:hint="eastAsia"/>
          <w:szCs w:val="21"/>
        </w:rPr>
        <w:t>trigger</w:t>
      </w:r>
      <w:r w:rsidR="00910FDA">
        <w:rPr>
          <w:rFonts w:ascii="Times New Roman" w:hAnsi="Times New Roman" w:cs="Times New Roman" w:hint="eastAsia"/>
          <w:szCs w:val="21"/>
        </w:rPr>
        <w:t>ing</w:t>
      </w:r>
      <w:r>
        <w:rPr>
          <w:rFonts w:ascii="Times New Roman" w:hAnsi="Times New Roman" w:cs="Times New Roman" w:hint="eastAsia"/>
          <w:szCs w:val="21"/>
        </w:rPr>
        <w:t xml:space="preserve"> inflammation and apoptosis </w:t>
      </w:r>
      <w:r w:rsidR="0097069E">
        <w:rPr>
          <w:rFonts w:ascii="Times New Roman" w:hAnsi="Times New Roman" w:cs="Times New Roman"/>
          <w:szCs w:val="21"/>
          <w:vertAlign w:val="superscript"/>
        </w:rPr>
        <w:fldChar w:fldCharType="begin" w:fldLock="1"/>
      </w:r>
      <w:r w:rsidR="0097069E">
        <w:rPr>
          <w:rFonts w:ascii="Times New Roman" w:hAnsi="Times New Roman" w:cs="Times New Roman"/>
          <w:szCs w:val="21"/>
          <w:vertAlign w:val="superscript"/>
        </w:rPr>
        <w:instrText>ADDIN CSL_CITATION {"citationItems":[{"id":"ITEM-1","itemData":{"DOI":"10.1016/j.cbpc.2019.108671","ISSN":"18781659","PMID":"31734314","abstract":"Bifenthrin is a synthesized pyrethroid insecticide which is frequently used in the farmland to eradicate insects. Bifenthrin mainly disrupts sodium ion channel inducing neurotoxicity in the target insects. It also exerts toxic effects such as hormone dysregulation, hepatotoxicity and immunotoxicity in other vertebrates. However, there is no evidence of the acute-toxicity associated embryogenesis and organogenesis of bifenthrin in zebrafish. Here we first demonstrated that bifenthrin induced acute-toxicity accompanying inflammatory response and physiological degradations resulting in loss of embryogenesis and vascular development in zebrafish embryos. We found that bifenthrin increased intestinal ROS accumulation and the inflammatory genes including tnfa, il6, il8 and ptgs2b, thereby increasing embryo mortality. Moreover, bifenthrin disrupted angiogenesis by down-regulation of VEGF receptors in embryos. Not only in the zebrafish, bifenthrin also decreased cell viability and hampered vascular formation of HUVECs. Collectively, bifenthrin induced developmental toxicity, inflammatory cell death and anti-angiogenesis during embryogenesis.","author":[{"dropping-particle":"","family":"Park","given":"Sunwoo","non-dropping-particle":"","parse-names":false,"suffix":""},{"dropping-particle":"","family":"Lee","given":"Jin Young","non-dropping-particle":"","parse-names":false,"suffix":""},{"dropping-particle":"","family":"Park","given":"Hahyun","non-dropping-particle":"","parse-names":false,"suffix":""},{"dropping-particle":"","family":"Song","given":"Gwonhwa","non-dropping-particle":"","parse-names":false,"suffix":""},{"dropping-particle":"","family":"Lim","given":"Whasun","non-dropping-particle":"","parse-names":false,"suffix":""}],"container-title":"Comparative Biochemistry and Physiology Part - C: Toxicology and Pharmacology","id":"ITEM-1","issue":"October 2019","issued":{"date-parts":[["2020"]]},"page":"108671","publisher":"Elsevier","title":"Bifenthrin induces developmental immunotoxicity and vascular malformation during zebrafish embryogenesis","type":"article-journal","volume":"228"},"uris":["http://www.mendeley.com/documents/?uuid=0da2291e-8c07-4ec7-81d0-41e4244b4eb4"]},{"id":"ITEM-2","itemData":{"DOI":"10.1016/j.aquatox.2018.04.015","ISSN":"18791514","PMID":"29709883","abstract":"As a widespread and ubiquitous pollutant of marine ecosystems, microplastic has the potential to become an emerging global threat for aquatic organisms. The present study aims to elucidate the effects of microplastics on the growth, accumulation and oxidative stress response in the liver of Eriocheir sinensis. Fluorescent microplastic particles (diameter = 0.5 μm) accumulated in the gill, liver and gut tissues of E. sinensis were investigated when crabs were exposed to a concentration of 40000 μg/L for 7 days. A 21 day toxicity test suggested that the rate of weight gain, specific growth rate, and hepatosomatic index of E. sinensis decreased with increasing microplastic concentration (0 μg/L, 40 μg/L, 400 μg/L, 4000 μg/L and 40000 μg/L). The activities of AChE and GPT in crabs exposed to microplastics were lower than those in control group. GOT activity increased significantly after exposure to a low concentration of microplastics and then decreased continuously with increasing microplastic concentrations. The activities of superoxide dismutase (SOD), aspartate transaminase (GOT), glutathione (GSH), and glutathione peroxidase (GPx) increased in specimens exposed to low concentrations of microplastics (40 and 400 μg/L) compared to the control and decreased in organisms exposed to high concentrations (4000 and 40000 μg/L). In contrast, the activities of acetylcholinesterase, catalase (CAT), and alanine aminotransferase were significantly lower in the organisms exposed to microplastics compared to control animals. Upon exposure to increasing microplastic concentrations, the expression of genes encoding the antioxidants SOD, CAT, GPx and glutathione S-transferase in the liver decreased after first increasing. Exposure to microplastics increased the expression of the gene encoding p38 in the MAPK signaling pathway and significantly decreased the expressions of genes encoding ERK, AKT, and MEK. The results of this study demonstrate that microplastics can accumulate in the tissues of E. sinensis and negatively affect growth. In addition, exposure to microplastics causes damage and induces oxidative stress in the hepatopancreas of E. sinensis. The findings provide basic biological data for environmental and human risk assessments of microplastics of high concern.","author":[{"dropping-particle":"","family":"Yu","given":"Ping","non-dropping-particle":"","parse-names":false,"suffix":""},{"dropping-particle":"","family":"Liu","given":"Zhiquan","non-dropping-particle":"","parse-names":false,"suffix":""},{"dropping-particle":"","family":"Wu","given":"Donglei","non-dropping-particle":"","parse-names":false,"suffix":""},{"dropping-particle":"","family":"Chen","given":"Minghai","non-dropping-particle":"","parse-names":false,"suffix":""},{"dropping-particle":"","family":"Lv","given":"Weiwei","non-dropping-particle":"","parse-names":false,"suffix":""},{"dropping-particle":"","family":"Zhao","given":"Yunlong","non-dropping-particle":"","parse-names":false,"suffix":""}],"container-title":"Aquatic Toxicology","id":"ITEM-2","issue":"January","issued":{"date-parts":[["2018"]]},"page":"28-36","publisher":"Elsevier","title":"Accumulation of polystyrene microplastics in juvenile Eriocheir sinensis and oxidative stress effects in the liver","type":"article-journal","volume":"200"},"uris":["http://www.mendeley.com/documents/?uuid=3134eb95-ed76-4634-8fee-45f45b9fcf1d"]},{"id":"ITEM-3","itemData":{"DOI":"10.1016/j.marenvres.2019.104838","ISSN":"18790291","PMID":"31733910","abstract":"The indiscriminate use of plastic has greatly increased microplastic contamination risk in the marine environment. Microplastics can affect all marine life via the food web, from primary producers (e.g., microalgae) to final consumers (e.g., carnivorous fish). Thus, several studies have attempted to evaluate microplastic toxicity, but information about the underlying mechanisms of their effect is limited. Therefore, in this study, we examined multiple factors that could contribute to microplastic-induced toxicity. We investigated the potential molecular effects of microplastic size and exposure time. We exposed the marine copepod Tigriopus japonicus to 50 nm and 10 μm polystyrene microbeads. We found that both size and exposure time increased intracellular levels of reactive oxygen species. In addition, antioxidant-related gene expression was modulated and antioxidant enzyme activities were changed significantly. The results of this study provide important insights into the molecular mechanisms of microplastic-induced toxicity in a marine organism.","author":[{"dropping-particle":"","family":"Choi","given":"Jin Soo","non-dropping-particle":"","parse-names":false,"suffix":""},{"dropping-particle":"","family":"Hong","given":"Sang Hee","non-dropping-particle":"","parse-names":false,"suffix":""},{"dropping-particle":"","family":"Park","given":"June Woo","non-dropping-particle":"","parse-names":false,"suffix":""}],"container-title":"Marine Environmental Research","id":"ITEM-3","issue":"October 2019","issued":{"date-parts":[["2020"]]},"page":"104838","publisher":"Elsevier Ltd","title":"Evaluation of microplastic toxicity in accordance with different sizes and exposure times in the marine copepod Tigriopus japonicus","type":"article-journal","volume":"153"},"uris":["http://www.mendeley.com/documents/?uuid=6c48e1de-2e56-4f09-8cc3-b39f43bc8365"]}],"mendeley":{"formattedCitation":"(Choi et al., 2020; Park et al., 2020; Yu et al., 2018)","plainTextFormattedCitation":"(Choi et al., 2020; Park et al., 2020; Yu et al., 2018)","previouslyFormattedCitation":"(Choi et al., 2020; Park et al., 2020; Yu et al., 2018)"},"properties":{"noteIndex":0},"schema":"https://github.com/citation-style-language/schema/raw/master/csl-citation.json"}</w:instrText>
      </w:r>
      <w:r w:rsidR="0097069E">
        <w:rPr>
          <w:rFonts w:ascii="Times New Roman" w:hAnsi="Times New Roman" w:cs="Times New Roman"/>
          <w:szCs w:val="21"/>
          <w:vertAlign w:val="superscript"/>
        </w:rPr>
        <w:fldChar w:fldCharType="separate"/>
      </w:r>
      <w:r w:rsidR="0097069E" w:rsidRPr="0097069E">
        <w:rPr>
          <w:rFonts w:ascii="Times New Roman" w:hAnsi="Times New Roman" w:cs="Times New Roman"/>
          <w:noProof/>
          <w:szCs w:val="21"/>
        </w:rPr>
        <w:t>(Choi et al., 2020; Park et al., 2020; Yu et al., 2018)</w:t>
      </w:r>
      <w:r w:rsidR="0097069E">
        <w:rPr>
          <w:rFonts w:ascii="Times New Roman" w:hAnsi="Times New Roman" w:cs="Times New Roman"/>
          <w:szCs w:val="21"/>
          <w:vertAlign w:val="superscript"/>
        </w:rPr>
        <w:fldChar w:fldCharType="end"/>
      </w:r>
      <w:r>
        <w:rPr>
          <w:rFonts w:ascii="Times New Roman" w:hAnsi="Times New Roman" w:cs="Times New Roman" w:hint="eastAsia"/>
          <w:szCs w:val="21"/>
        </w:rPr>
        <w:t xml:space="preserve">. Therefore, </w:t>
      </w:r>
      <w:r w:rsidR="00D85532">
        <w:rPr>
          <w:rFonts w:ascii="Times New Roman" w:hAnsi="Times New Roman" w:cs="Times New Roman"/>
          <w:szCs w:val="21"/>
        </w:rPr>
        <w:t>identify</w:t>
      </w:r>
      <w:r>
        <w:rPr>
          <w:rFonts w:ascii="Times New Roman" w:hAnsi="Times New Roman" w:cs="Times New Roman" w:hint="eastAsia"/>
          <w:szCs w:val="21"/>
        </w:rPr>
        <w:t xml:space="preserve"> the effect</w:t>
      </w:r>
      <w:r>
        <w:rPr>
          <w:rFonts w:ascii="Times New Roman" w:eastAsia="宋体" w:hAnsi="Times New Roman" w:cs="Times New Roman"/>
          <w:szCs w:val="21"/>
        </w:rPr>
        <w:t xml:space="preserve">s of BF on oxidative stress in aquatic organisms is </w:t>
      </w:r>
      <w:r>
        <w:rPr>
          <w:rFonts w:ascii="Times New Roman" w:hAnsi="Times New Roman" w:cs="Times New Roman" w:hint="eastAsia"/>
          <w:szCs w:val="21"/>
        </w:rPr>
        <w:t>important to clarify the non-targeted effects of pyrethroids and other pesticides.</w:t>
      </w:r>
      <w:r w:rsidR="00D85532">
        <w:rPr>
          <w:rFonts w:ascii="Times New Roman" w:hAnsi="Times New Roman" w:cs="Times New Roman"/>
          <w:szCs w:val="21"/>
        </w:rPr>
        <w:t xml:space="preserve"> </w:t>
      </w:r>
      <w:r>
        <w:rPr>
          <w:rFonts w:ascii="Times New Roman" w:hAnsi="Times New Roman" w:cs="Times New Roman" w:hint="eastAsia"/>
          <w:szCs w:val="21"/>
        </w:rPr>
        <w:t xml:space="preserve">Catalase (CAT), superoxide dismutase (SOD), </w:t>
      </w:r>
      <w:r>
        <w:rPr>
          <w:rFonts w:ascii="Times New Roman" w:eastAsia="宋体" w:hAnsi="Times New Roman" w:cs="Times New Roman"/>
          <w:szCs w:val="21"/>
        </w:rPr>
        <w:t>malondialdehyde (MDA)</w:t>
      </w:r>
      <w:r w:rsidR="00910FDA">
        <w:rPr>
          <w:rFonts w:ascii="Times New Roman" w:eastAsia="宋体" w:hAnsi="Times New Roman" w:cs="Times New Roman"/>
          <w:szCs w:val="21"/>
        </w:rPr>
        <w:t>,</w:t>
      </w:r>
      <w:r>
        <w:rPr>
          <w:rFonts w:ascii="Times New Roman" w:hAnsi="Times New Roman" w:cs="Times New Roman" w:hint="eastAsia"/>
          <w:szCs w:val="21"/>
        </w:rPr>
        <w:t xml:space="preserve"> </w:t>
      </w:r>
      <w:r>
        <w:rPr>
          <w:rFonts w:ascii="Times New Roman" w:eastAsia="宋体" w:hAnsi="Times New Roman" w:cs="Times New Roman"/>
          <w:szCs w:val="21"/>
        </w:rPr>
        <w:t xml:space="preserve">and </w:t>
      </w:r>
      <w:r>
        <w:rPr>
          <w:rFonts w:ascii="Times New Roman" w:hAnsi="Times New Roman" w:cs="Times New Roman" w:hint="eastAsia"/>
          <w:szCs w:val="21"/>
        </w:rPr>
        <w:t>glutathione (GSH)</w:t>
      </w:r>
      <w:r>
        <w:rPr>
          <w:rFonts w:ascii="Times New Roman" w:eastAsia="宋体" w:hAnsi="Times New Roman" w:cs="Times New Roman"/>
          <w:szCs w:val="21"/>
        </w:rPr>
        <w:t xml:space="preserve"> </w:t>
      </w:r>
      <w:r>
        <w:rPr>
          <w:rFonts w:ascii="Times New Roman" w:hAnsi="Times New Roman" w:cs="Times New Roman" w:hint="eastAsia"/>
          <w:szCs w:val="21"/>
        </w:rPr>
        <w:t>are important indicators of biological peroxidation injury</w:t>
      </w:r>
      <w:r>
        <w:rPr>
          <w:rFonts w:ascii="Times New Roman" w:hAnsi="Times New Roman" w:cs="Times New Roman"/>
          <w:szCs w:val="21"/>
        </w:rPr>
        <w:t xml:space="preserve"> and</w:t>
      </w:r>
      <w:r>
        <w:rPr>
          <w:rFonts w:ascii="Times New Roman" w:hAnsi="Times New Roman" w:cs="Times New Roman" w:hint="eastAsia"/>
          <w:szCs w:val="21"/>
        </w:rPr>
        <w:t xml:space="preserve"> 8-</w:t>
      </w:r>
      <w:r>
        <w:rPr>
          <w:rFonts w:ascii="Times New Roman" w:hAnsi="Times New Roman" w:cs="Times New Roman"/>
          <w:szCs w:val="21"/>
        </w:rPr>
        <w:t>h</w:t>
      </w:r>
      <w:r>
        <w:rPr>
          <w:rFonts w:ascii="Times New Roman" w:hAnsi="Times New Roman" w:cs="Times New Roman" w:hint="eastAsia"/>
          <w:szCs w:val="21"/>
        </w:rPr>
        <w:t>ydroxydeoxyguanosine (8-OHdG) has been widely involved in the detection of DNA damage</w:t>
      </w:r>
      <w:r w:rsidRPr="00FC3758">
        <w:rPr>
          <w:rFonts w:ascii="Times New Roman" w:hAnsi="Times New Roman" w:cs="Times New Roman"/>
          <w:szCs w:val="21"/>
          <w:vertAlign w:val="superscript"/>
        </w:rPr>
        <w:t>]</w:t>
      </w:r>
      <w:r>
        <w:rPr>
          <w:rFonts w:ascii="Times New Roman" w:hAnsi="Times New Roman" w:cs="Times New Roman" w:hint="eastAsia"/>
          <w:szCs w:val="21"/>
        </w:rPr>
        <w:t>and oxidative stress</w:t>
      </w:r>
      <w:r w:rsidR="002823F0">
        <w:rPr>
          <w:rFonts w:ascii="Times New Roman" w:hAnsi="Times New Roman" w:cs="Times New Roman"/>
          <w:szCs w:val="21"/>
        </w:rPr>
        <w:t xml:space="preserve"> </w:t>
      </w:r>
      <w:r w:rsidR="0097069E">
        <w:rPr>
          <w:rFonts w:ascii="Times New Roman" w:hAnsi="Times New Roman" w:cs="Times New Roman"/>
          <w:szCs w:val="21"/>
          <w:vertAlign w:val="superscript"/>
        </w:rPr>
        <w:fldChar w:fldCharType="begin" w:fldLock="1"/>
      </w:r>
      <w:r w:rsidR="0097069E">
        <w:rPr>
          <w:rFonts w:ascii="Times New Roman" w:hAnsi="Times New Roman" w:cs="Times New Roman"/>
          <w:szCs w:val="21"/>
          <w:vertAlign w:val="superscript"/>
        </w:rPr>
        <w:instrText>ADDIN CSL_CITATION {"citationItems":[{"id":"ITEM-1","itemData":{"DOI":"10.1016/j.aquatox.2020.105420","ISSN":"18791514","PMID":"31986404","abstract":"Recently, research on the biological effects of nanoplastics has grown exponentially. However, studies on the effects of nanoplastics on freshwater organisms and the mechanisms of the biological effects of nanoplastics are limited. In this study, the content of reactive oxygen species (ROS), gene and protein expression in the MAPK-HIF-1/NFkB pathway, and antioxidant gene expressions and enzyme activities were measured in Daphnia pulex exposed to polystyrene nanoplastic. In addition, the full-length extracellular signal-regulated kinases (ERK) gene, which plays an important role in the MAPK pathway, was cloned in D. pulex, and the amino acid sequence, function domain, and phylogenetic tree were analyzed. The results show that nanoplastic caused the overproduction of ROS along with other dose-dependent effects. Low nanoplastic concentrations (0.1 and/or 0.5 mg/L) significantly increased the expressions of genes of the MAPK pathway (ERK; p38 mitogen-activated protein kinases, p38; c-Jun amino-terminal kinases, JNK; and protein kinase B, AKT), HIF-1 pathway (prolyl hydroxylasedomain, PHD; vascular endothelial growth factor, VEGF; glucose transporter, GLUT; pyruvate kinase M, PKM; hypoxia-inducible factor 1, HIF1), and CuZn superoxide dismutase (SOD) along with the activity of glutathione-S-transferase. As the nanoplastic concentration increased, these indicators were significantly suppressed. The protein expression ratio of ERK, JNK, AKT, HIF1α, and NFkBp65 (nuclear transcription factor-kB p65) as well as the phosphorylation of ERK and NFkBp65 were increased in a dose-dependent manner. The activities of other antioxidant enzymes (catalase, total SOD, and CuZn SOD) were significantly decreased upon exposure to nanoplastic. Combined with our previous work, these results suggest that polystyrene nanoplastic causes the overproduction of ROS and activates the downstream pathway, resulting in inhibited growth, development, and reproduction. The present study fosters a better understanding of the biological effects of nanoplastics on zooplankton.","author":[{"dropping-particle":"","family":"Liu","given":"Zhiquan","non-dropping-particle":"","parse-names":false,"suffix":""},{"dropping-particle":"","family":"Huang","given":"Youhui","non-dropping-particle":"","parse-names":false,"suffix":""},{"dropping-particle":"","family":"Jiao","given":"Yang","non-dropping-particle":"","parse-names":false,"suffix":""},{"dropping-particle":"","family":"Chen","given":"Qiang","non-dropping-particle":"","parse-names":false,"suffix":""},{"dropping-particle":"","family":"Wu","given":"Donglei","non-dropping-particle":"","parse-names":false,"suffix":""},{"dropping-particle":"","family":"Yu","given":"Ping","non-dropping-particle":"","parse-names":false,"suffix":""},{"dropping-particle":"","family":"Li","given":"Yiming","non-dropping-particle":"","parse-names":false,"suffix":""},{"dropping-particle":"","family":"Cai","given":"Mingqi","non-dropping-particle":"","parse-names":false,"suffix":""},{"dropping-particle":"","family":"Zhao","given":"Yunlong","non-dropping-particle":"","parse-names":false,"suffix":""}],"container-title":"Aquatic Toxicology","id":"ITEM-1","issue":"January","issued":{"date-parts":[["2020"]]},"page":"105420","publisher":"Elsevier","title":"Polystyrene nanoplastic induces ROS production and affects the MAPK-HIF-1/NFkB-mediated antioxidant system in Daphnia pulex","type":"article-journal","volume":"220"},"uris":["http://www.mendeley.com/documents/?uuid=7608079c-92f0-4d9c-80c9-5954392dcde1"]},{"id":"ITEM-2","itemData":{"DOI":"10.1016/j.trac.2018.12.001","ISSN":"18793142","abstract":"Interest about interactions between microplastics and organisms is on the rise. Accessing organisms’ responses to these chemically “inert” compounds plays an important role in determining their potential toxicity. Microplastics from the environment tend to accumulate and move through living organisms, inducing a variety of biological effects, such as disturbances in energy metabolism, oxidative balance, antioxidative capacity, DNA, immunological, neurological and histological damage. In the present review, we summarized the adverse effects of different size, concentrations and types of microplastics on animals’ antioxidative system, energy metabolism and nervous system. Results showed that microplastics can: induce oxidative damage (increased lipid peroxidation and DNA strand breaks); alter antioxidative system (superoxide dismutase, catalase and glutathione peroxidase were parameters with the highest and significant changes in activities) and metabolism (isocitrate dehydrogenase and lactate dehydrogenase activity); and have neurotoxic effects (inhibition of acetylcholinesterase activity). The effects were depending on size and dose of used microplastics, and/or their interaction with other xenobiotics. We examined also potential strategies and offer research priorities for current and future studies.","author":[{"dropping-particle":"","family":"Prokić","given":"Marko D.","non-dropping-particle":"","parse-names":false,"suffix":""},{"dropping-particle":"","family":"Radovanović","given":"Tijana B.","non-dropping-particle":"","parse-names":false,"suffix":""},{"dropping-particle":"","family":"Gavrić","given":"Jelena P.","non-dropping-particle":"","parse-names":false,"suffix":""},{"dropping-particle":"","family":"Faggio","given":"Caterina","non-dropping-particle":"","parse-names":false,"suffix":""}],"container-title":"TrAC - Trends in Analytical Chemistry","id":"ITEM-2","issued":{"date-parts":[["2019"]]},"page":"37-46","title":"Ecotoxicological effects of microplastics: Examination of biomarkers, current state and future perspectives","type":"article-journal","volume":"111"},"uris":["http://www.mendeley.com/documents/?uuid=2e3af236-0906-4fff-b544-364d425511e7"]},{"id":"ITEM-3","itemData":{"DOI":"10.1016/j.scitotenv.2021.149047","ISSN":"18791026","PMID":"34280629","abstract":"4-Epianhydrotetracycline (4-EATC) is a major intermediate product of tetracycline during its degradation progress in the natural environment, which is frequently detected in aquatic environments and poses a potential threat to aquatic organisms. In the present study, the ecotoxicity of 4-EATC have been studied from the perspective of oxidative stress by using zebrafish embryos. After 96 h exposure, the reactive oxygen species (ROS) levels, malondialdehyde (MDA) concentrations and protein carbonyl (PC) contents in zebrafish embryos in the lower-concentration 4-EATC treatment groups (1.25 mg/L and 2.50 mg/L) showed no significant differences compared with the negative control group. However, the total superoxide dismutase (SOD) activity was increased significantly. After exposed to the higher-concentration of 4-EATC (5.00, 10.0 and 20.0 mg/L) resulted in a significant increase in ROS levels, MDA concentrations and PC contents, in contrast, a significant decrease in SOD activities. The results indicate that exposure to high concentrations of 4-EATC (5.00, 10.0 and 20.0 mg/L) could disrupt the redox equilibrium in zebrafish embryos, leading to the occurrence of oxidative damage. Apoptosis of the embryonic cells could be induced by 4-EATC exposure at different concentration and the rate of apoptosis enhanced with the increase of 4-EATC concentration. The pericardium was the most frequent site of apoptosis. The present study points out that more attention should be paid to the potential ecological risks of antibiotic degradation products.","author":[{"dropping-particle":"","family":"Wang","given":"Meng","non-dropping-particle":"","parse-names":false,"suffix":""},{"dropping-particle":"","family":"Zhao","given":"Jianfu","non-dropping-particle":"","parse-names":false,"suffix":""},{"dropping-particle":"","family":"Wu","given":"Lingling","non-dropping-particle":"","parse-names":false,"suffix":""},{"dropping-particle":"","family":"Ma","given":"Taowu","non-dropping-particle":"","parse-names":false,"suffix":""}],"container-title":"Science of the Total Environment","id":"ITEM-3","issued":{"date-parts":[["2021"]]},"page":"149047","publisher":"Elsevier B.V.","title":"Effects of 4-epianhydrotetracycline on oxidative stress in zebrafish (Danio rerio) embryos","type":"article-journal","volume":"796"},"uris":["http://www.mendeley.com/documents/?uuid=ab94aa20-f540-4d2c-8aa8-2c67aad34276"]},{"id":"ITEM-4","itemData":{"DOI":"10.1016/j.aquatox.2020.105715","ISSN":"18791514","PMID":"33341507","abstract":"This study was conceptualized in order to assess the 96-h LC50 of bifenthrin (BF) in O. niloticus and also to measure the biochemical, behavioral, and molecular responses of the fish suchronically exposed to a sub-lethal concentration of the insecticide. The role of Petroselinum crispum essential oil (PEO) supplementation in mitigating the resulted neurotoxic insult was also investigated. The acute toxicity study revealed that the 96-h LC50 of BF is 6.81 μg/L, and varying degrees of behavioral changes were recorded in a dose-dependent manner. The subchronic study revealed reduction of dissolved oxygen and increased ammonia in aquaria of BF-exposed fish. Clinical signs revealed high degree of discomfort and aggressiveness together with reductions in survival rate and body weight gain. The levels of monoamines in brain, and GABA and amino acids in serum were reduced, together with decreased activities of Na+/K+-ATPase and acetylcholine esterases (AchE). The activities of antioxidant enzymes were also diminshed in the brain while oxdative damage and DNA breaks were elevated. Myeloperoxidase (MPO) activity in serum increased with overexpression of the pro-inflammatory cytokines in the brain tissue. BF also upregulated the expression of brain-stress related genes HSP70, Caspase-3 and P53. Supplemention of PEO to BF markedly abrogated the toxic impacts of the insecticide, specially at the high level. These findings demonstrate neuroprotective, antioxidant, genoprotective, anti-inflammatory and antiapoptic effects of PEO in BF-intoxicated fish. Based on these mechanistic insights of PEO, we recommend its use as an invaluable supplement in the fish feed.","author":[{"dropping-particle":"","family":"Farag","given":"Mayada R.","non-dropping-particle":"","parse-names":false,"suffix":""},{"dropping-particle":"","family":"Mahmoud","given":"Hemat K.","non-dropping-particle":"","parse-names":false,"suffix":""},{"dropping-particle":"","family":"El-Sayed","given":"Sabry A.A.","non-dropping-particle":"","parse-names":false,"suffix":""},{"dropping-particle":"","family":"Ahmed","given":"Sarah Y.A.","non-dropping-particle":"","parse-names":false,"suffix":""},{"dropping-particle":"","family":"Alagawany","given":"Mahmoud","non-dropping-particle":"","parse-names":false,"suffix":""},{"dropping-particle":"","family":"Abou-Zeid","given":"Shimaa M.","non-dropping-particle":"","parse-names":false,"suffix":""}],"container-title":"Aquatic Toxicology","id":"ITEM-4","issue":"October 2020","issued":{"date-parts":[["2021"]]},"page":"105715","publisher":"Elsevier B.V.","title":"Neurobehavioral, physiological and inflammatory impairments in response to bifenthrin intoxication in Oreochromis niloticus fish: Role of dietary supplementation with Petroselinum crispum essential oil","type":"article-journal","volume":"231"},"uris":["http://www.mendeley.com/documents/?uuid=ae5f628f-bddf-4f5d-88a2-cc303e5fb847"]},{"id":"ITEM-5","itemData":{"DOI":"10.1016/S0305-0491(98)10053-6","ISSN":"03050491","PMID":"9787804","abstract":"The roles of enzymatic antioxidant defenses in the natural tolerance of environmental stresses that impose changes in oxygen availability and oxygen consumption on animals is discussed with a particular focus on the biochemistry of estivation and metabolic depression in pulmonate land snails. Despite reduced oxygen consumption and P(O(2)) during estivation, which should also mean reduced production of oxyradicals, the activities of antioxidant enzymes, such as superoxide dismutase and catalase, increased in 30 day-estivating snails. This appears to be an adaptation that allows the snails to deal with oxidative stress that takes place during arousal when P(O(2)) and oxygen consumption rise rapidly. Indeed, oxidative stress was indicated by increased levels of lipid peroxidation damage products accumulating in hepatopancreas within minutes after arousal was initiated. The various metabolic sites responsible for free radical generation during arousal are still unknown but it seems unlikely that the enzyme xanthine oxidase plays any substantial role in this despite being implicated in oxidative stress in mammalian models of ischemia/reperfusion. We propose that the activation of antioxidant defenses in the organs of Otala lactea during estivation is a preparative mechanism against oxidative stress during arousal. Increased activities of antioxidant enzymes have also observed under other stress situations in which the actual production of oxyradicals should decrease. For example, antioxidant defenses are enhanced during anoxia exposure in garter snakes Thamnophis sirtalis parietalis (10 h at 5°C) and leopard frogs Rana pipiens (30 h at 5°C) and during freezing exposure (an ischemic condition due to plasma freezing) in T. sirtalis parietalis and wood frogs Rana sylvatica. It seems that enhancement of antioxidant enzymes during either anoxia or freezing is used as a preparatory mechanism to deal with a physiological oxidative stress that occurs rapidly within the early minutes of recovery during reoxygenation or thawing. Thus, a wide range of stress tolerant animals display coordinated changes in antioxidant defenses that allow them to deal with oxidative stress that occurs as part of natural cycles of stress/recovery that alter oxygen levels in tissues. The molecular mechanisms that trigger and regulate changes in antioxidant enzyme activities in these species are still unknown but could prove to have key relevance for the development of new intervention stra…","author":[{"dropping-particle":"","family":"Hermes-Lima","given":"Marcelo","non-dropping-particle":"","parse-names":false,"suffix":""},{"dropping-particle":"","family":"Storey","given":"Janet M.","non-dropping-particle":"","parse-names":false,"suffix":""},{"dropping-particle":"","family":"Storey","given":"Kenneth B.","non-dropping-particle":"","parse-names":false,"suffix":""}],"container-title":"Comparative Biochemistry and Physiology - B Biochemistry and Molecular Biology","id":"ITEM-5","issue":"3","issued":{"date-parts":[["1998"]]},"page":"437-448","title":"Antioxidant defenses and metabolic depression. The hypothesis of preparation for oxidative stress in land snails","type":"article-journal","volume":"120"},"uris":["http://www.mendeley.com/documents/?uuid=1a43c41b-e0ac-49e5-8483-4028c107c2c4"]},{"id":"ITEM-6","itemData":{"DOI":"10.1007/s00128-002-0142-2","ISBN":"0012800201","ISSN":"00074861","PMID":"12428167","author":[{"dropping-particle":"","family":"Papadimitriou","given":"E.","non-dropping-particle":"","parse-names":false,"suffix":""},{"dropping-particle":"","family":"Loumbourdis","given":"N. S.","non-dropping-particle":"","parse-names":false,"suffix":""}],"container-title":"Bulletin of Environmental Contamination and Toxicology","id":"ITEM-6","issue":"6","issued":{"date-parts":[["2002"]]},"page":"885-891","title":"Exposure of the frog Rana ridibunda to copper: Impact on two biomarkers, lipid peroxidation, and glutathione","type":"article-journal","volume":"69"},"uris":["http://www.mendeley.com/documents/?uuid=d37a97ab-833a-49fa-8eea-a277168d5c9d"]}],"mendeley":{"formattedCitation":"(Farag et al., 2021; Hermes-Lima et al., 1998; Liu et al., 2020; Papadimitriou and Loumbourdis, 2002; Prokić et al., 2019; Wang et al., 2021)","manualFormatting":"(Farag et al., 2021; Liu et al., 2020; Papadimitriou and Loumbourdis, 2002; Prokić et al., 2019; Wang et al., 2021)","plainTextFormattedCitation":"(Farag et al., 2021; Hermes-Lima et al., 1998; Liu et al., 2020; Papadimitriou and Loumbourdis, 2002; Prokić et al., 2019; Wang et al., 2021)","previouslyFormattedCitation":"(Farag et al., 2021; Hermes-Lima et al., 1998; Liu et al., 2020; Papadimitriou and Loumbourdis, 2002; Prokić et al., 2019; Wang et al., 2021)"},"properties":{"noteIndex":0},"schema":"https://github.com/citation-style-language/schema/raw/master/csl-citation.json"}</w:instrText>
      </w:r>
      <w:r w:rsidR="0097069E">
        <w:rPr>
          <w:rFonts w:ascii="Times New Roman" w:hAnsi="Times New Roman" w:cs="Times New Roman"/>
          <w:szCs w:val="21"/>
          <w:vertAlign w:val="superscript"/>
        </w:rPr>
        <w:fldChar w:fldCharType="separate"/>
      </w:r>
      <w:r w:rsidR="0097069E" w:rsidRPr="0097069E">
        <w:rPr>
          <w:rFonts w:ascii="Times New Roman" w:hAnsi="Times New Roman" w:cs="Times New Roman"/>
          <w:noProof/>
          <w:szCs w:val="21"/>
        </w:rPr>
        <w:t>(Farag et al., 2021;</w:t>
      </w:r>
      <w:r w:rsidR="0097069E">
        <w:rPr>
          <w:rFonts w:ascii="Times New Roman" w:hAnsi="Times New Roman" w:cs="Times New Roman"/>
          <w:noProof/>
          <w:szCs w:val="21"/>
        </w:rPr>
        <w:t xml:space="preserve"> </w:t>
      </w:r>
      <w:r w:rsidR="0097069E" w:rsidRPr="0097069E">
        <w:rPr>
          <w:rFonts w:ascii="Times New Roman" w:hAnsi="Times New Roman" w:cs="Times New Roman"/>
          <w:noProof/>
          <w:szCs w:val="21"/>
        </w:rPr>
        <w:t>Liu et al., 2020; Papadimitriou and Loumbourdis, 2002; Prokić et al., 2019; Wang et al., 2021)</w:t>
      </w:r>
      <w:r w:rsidR="0097069E">
        <w:rPr>
          <w:rFonts w:ascii="Times New Roman" w:hAnsi="Times New Roman" w:cs="Times New Roman"/>
          <w:szCs w:val="21"/>
          <w:vertAlign w:val="superscript"/>
        </w:rPr>
        <w:fldChar w:fldCharType="end"/>
      </w:r>
      <w:r>
        <w:rPr>
          <w:rFonts w:ascii="Times New Roman" w:hAnsi="Times New Roman" w:cs="Times New Roman" w:hint="eastAsia"/>
          <w:szCs w:val="21"/>
        </w:rPr>
        <w:t xml:space="preserve">. </w:t>
      </w:r>
      <w:r w:rsidR="00DE7145">
        <w:rPr>
          <w:rFonts w:ascii="Times New Roman" w:hAnsi="Times New Roman" w:cs="Times New Roman"/>
          <w:szCs w:val="21"/>
        </w:rPr>
        <w:t xml:space="preserve">Furthermore, </w:t>
      </w:r>
      <w:r w:rsidR="00DE7145" w:rsidRPr="00FC3758">
        <w:rPr>
          <w:rFonts w:ascii="Times New Roman" w:hAnsi="Times New Roman" w:cs="Times New Roman"/>
          <w:szCs w:val="21"/>
        </w:rPr>
        <w:t>RNA-seq technology is a useful tool for in-depth developing of how contaminants cause biological toxicity.</w:t>
      </w:r>
      <w:r w:rsidR="00DE7145">
        <w:rPr>
          <w:rFonts w:ascii="Times New Roman" w:hAnsi="Times New Roman" w:cs="Times New Roman" w:hint="eastAsia"/>
          <w:szCs w:val="21"/>
        </w:rPr>
        <w:t xml:space="preserve"> </w:t>
      </w:r>
      <w:r>
        <w:rPr>
          <w:rFonts w:ascii="Times New Roman" w:hAnsi="Times New Roman" w:cs="Times New Roman" w:hint="eastAsia"/>
          <w:szCs w:val="21"/>
        </w:rPr>
        <w:t>Rapid, comprehensive, and detailed analysis of non-model biological genomes and transcripts is facilitated by the development and application of RNA-seq, which is widely used to assess transcriptome changes in target tissues or cells, including splicing, novel transcripts, and gene annotation</w:t>
      </w:r>
      <w:r w:rsidR="00910FDA">
        <w:rPr>
          <w:rFonts w:ascii="Times New Roman" w:hAnsi="Times New Roman" w:cs="Times New Roman"/>
          <w:szCs w:val="21"/>
        </w:rPr>
        <w:t xml:space="preserve"> </w:t>
      </w:r>
      <w:r w:rsidR="0097069E" w:rsidRPr="0083523B">
        <w:rPr>
          <w:rFonts w:ascii="Times New Roman" w:hAnsi="Times New Roman" w:cs="Times New Roman"/>
          <w:szCs w:val="21"/>
        </w:rPr>
        <w:fldChar w:fldCharType="begin" w:fldLock="1"/>
      </w:r>
      <w:r w:rsidR="00896929">
        <w:rPr>
          <w:rFonts w:ascii="Times New Roman" w:hAnsi="Times New Roman" w:cs="Times New Roman"/>
          <w:szCs w:val="21"/>
        </w:rPr>
        <w:instrText>ADDIN CSL_CITATION {"citationItems":[{"id":"ITEM-1","itemData":{"DOI":"10.1021/acs.jafc.8b01645","ISSN":"0021-8561","abstract":"The growth and development of the Chinese oak silkworm, Antheraea pernyi, are strongly influenced by environmental conditions, including heavy metal pollution. An excess of heavy metals causes cellular damage through the production of free radical reactive oxygen species. In this study, transcriptome analysis was performed to investigate global gene expression when A. pernyi was exposed to zinc infection. With RNA sequencing (RNA-Seq), a total of 25 795 510 and 38 158 855 clean reads were obtained from zinc-treated and control fat body libraries, respectively. We identified 2399 differential expression genes (DEGs) (1845 upregulated and 544 downregulated genes) in the zinc-treated library. In addition, Kyoto Encyclopedia of Genes and Genomes (KEGG) enrichment analysis revealed that these DEGs were related to the peroxisome pathway that was associated with antioxidant defense. Our results suggest that fat bodies of A. pernyi constitute a strong antioxidant defense against heavy metal contamination.","author":[{"dropping-particle":"","family":"Liu","given":"Yu","non-dropping-particle":"","parse-names":false,"suffix":""},{"dropping-particle":"","family":"Xin","given":"Zhao-Zhe","non-dropping-particle":"","parse-names":false,"suffix":""},{"dropping-particle":"","family":"Song","given":"Jiao","non-dropping-particle":"","parse-names":false,"suffix":""},{"dropping-particle":"","family":"Zhu","given":"Xiao-Yu","non-dropping-particle":"","parse-names":false,"suffix":""},{"dropping-particle":"","family":"Liu","given":"Qiu-Ning","non-dropping-particle":"","parse-names":false,"suffix":""},{"dropping-particle":"","family":"Zhang","given":"Dai-Zhen","non-dropping-particle":"","parse-names":false,"suffix":""},{"dropping-particle":"","family":"Tang","given":"Bo-Ping","non-dropping-particle":"","parse-names":false,"suffix":""},{"dropping-particle":"","family":"Zhou","given":"Chun-Lin","non-dropping-particle":"","parse-names":false,"suffix":""},{"dropping-particle":"","family":"Dai","given":"Li-Shang","non-dropping-particle":"","parse-names":false,"suffix":""}],"container-title":"Journal of agricultural and food chemistry","id":"ITEM-1","issue":"30","issued":{"date-parts":[["2018"]]},"page":"8132—8141","title":"Transcriptome Analysis Reveals Potential Antioxidant Defense Mechanisms in Antheraea pernyi in Response to Zinc Stress","type":"article-journal","volume":"66"},"uris":["http://www.mendeley.com/documents/?uuid=779bf2c9-cf7c-4641-b997-a863af7600eb"]},{"id":"ITEM-2","itemData":{"DOI":"10.1016/j.aquatox.2019.105235","ISSN":"18791514","PMID":"31271906","abstract":"Corbicula fluminea is highly sensitive to ammonia, and its response mechanism to ammonia stress is unclear. In this study, C. fluminea was exposed to different levels of ammonia (control group, 10 mg/L, and 25 mg/L) for 24 h and 48 h. A comparative analysis of transcriptome sequencing (RNA-seq) of C. fluminea digestive gland showed that the expression of 6742 genes (11.54%) was significantly affected by ammonia stress. The TLR, NF-κB, FOXO, and apoptotic signaling pathways were involved in the regulation. The differential expression of 14 genes was confirmed by real-time PCR. In summary, the response mechanism of C. fluminea digestive gland under ammonia stress may be different from that of oxidative stress in marine vertebrates. Also, the NMDAR-mediated pathway may not be the main mechanism in the response to ammonia stress in C. fluminea. The present study is a preliminary study for further investigation into ammonia toxicity in shellfish.","author":[{"dropping-particle":"","family":"Zhang","given":"Tianxu","non-dropping-particle":"","parse-names":false,"suffix":""},{"dropping-particle":"","family":"Yan","given":"Zhenguang","non-dropping-particle":"","parse-names":false,"suffix":""},{"dropping-particle":"","family":"Zheng","given":"Xin","non-dropping-particle":"","parse-names":false,"suffix":""},{"dropping-particle":"","family":"Fan","given":"Juntao","non-dropping-particle":"","parse-names":false,"suffix":""},{"dropping-particle":"","family":"Wang","given":"Shuping","non-dropping-particle":"","parse-names":false,"suffix":""},{"dropping-particle":"","family":"Wei","given":"Yongjie","non-dropping-particle":"","parse-names":false,"suffix":""},{"dropping-particle":"","family":"Yang","given":"Lixin","non-dropping-particle":"","parse-names":false,"suffix":""},{"dropping-particle":"","family":"Wang","given":"Pengyuan","non-dropping-particle":"","parse-names":false,"suffix":""},{"dropping-particle":"","family":"Guo","given":"Shaojuan","non-dropping-particle":"","parse-names":false,"suffix":""}],"container-title":"Aquatic Toxicology","id":"ITEM-2","issue":"June","issued":{"date-parts":[["2019"]]},"page":"105235","publisher":"Elsevier","title":"Transcriptome analysis of response mechanism to ammonia stress in Asian clam (Corbicula fluminea)","type":"article-journal","volume":"214"},"uris":["http://www.mendeley.com/documents/?uuid=6311de4b-c449-4868-bcc2-1983c4c986b2"]},{"id":"ITEM-3","itemData":{"DOI":"10.1142/9781848163324_0001","ISBN":"9781848163324","ISSN":"09199454","PMID":"19425143","abstract":"Transcriptome analysis using high-throughput short-read sequencing technology is straightforward when the sequenced genome is the same species or extremely similar to the reference genome. We present an analysis approach for when the sequenced organism does not have an already sequenced genome that can be used for a reference, as will be the case of many non-model organisms. As proof of concept, data from Solexa sequencing of the polyploid plant Pachycladon enysii was analysed using our approach with its nearest model reference genome being the diploid plant Arabidopsis thaliana. By using a combination of mapping and de novo assembly tools we could determine duplicate genes belonging to one or other of the genome copies. Our approach demonstrates that transcriptome analysis using high-throughput short-read sequencing need not be restricted to the genomes of model organisms.","author":[{"dropping-particle":"","family":"Collins","given":"Lesley J.","non-dropping-particle":"","parse-names":false,"suffix":""},{"dropping-particle":"","family":"Biggs","given":"Patrick J.","non-dropping-particle":"","parse-names":false,"suffix":""},{"dropping-particle":"","family":"Voelckel","given":"Claudia","non-dropping-particle":"","parse-names":false,"suffix":""},{"dropping-particle":"","family":"Joly","given":"Simon","non-dropping-particle":"","parse-names":false,"suffix":""}],"container-title":"Genome informatics. International Conference on Genome Informatics","id":"ITEM-3","issue":"February","issued":{"date-parts":[["2008"]]},"page":"3-14","title":"An approach to transcriptome analysis of non-model organisms using short-read sequences","type":"article-journal","volume":"21"},"uris":["http://www.mendeley.com/documents/?uuid=f32192db-d16b-4886-83e6-e4c955d2a1c2"]}],"mendeley":{"formattedCitation":"(Collins et al., 2008; Liu et al., 2018; Zhang et al., 2019)","plainTextFormattedCitation":"(Collins et al., 2008; Liu et al., 2018; Zhang et al., 2019)","previouslyFormattedCitation":"(Collins et al., 2008; Liu et al., 2018; Zhang et al., 2019)"},"properties":{"noteIndex":0},"schema":"https://github.com/citation-style-language/schema/raw/master/csl-citation.json"}</w:instrText>
      </w:r>
      <w:r w:rsidR="0097069E" w:rsidRPr="0083523B">
        <w:rPr>
          <w:rFonts w:ascii="Times New Roman" w:hAnsi="Times New Roman" w:cs="Times New Roman"/>
          <w:szCs w:val="21"/>
        </w:rPr>
        <w:fldChar w:fldCharType="separate"/>
      </w:r>
      <w:r w:rsidR="0097069E" w:rsidRPr="0083523B">
        <w:rPr>
          <w:rFonts w:ascii="Times New Roman" w:hAnsi="Times New Roman" w:cs="Times New Roman"/>
          <w:noProof/>
          <w:szCs w:val="21"/>
        </w:rPr>
        <w:t>(Collins et al., 2008; Liu et al., 2018; Zhang et al., 2019)</w:t>
      </w:r>
      <w:r w:rsidR="0097069E" w:rsidRPr="0083523B">
        <w:rPr>
          <w:rFonts w:ascii="Times New Roman" w:hAnsi="Times New Roman" w:cs="Times New Roman"/>
          <w:szCs w:val="21"/>
        </w:rPr>
        <w:fldChar w:fldCharType="end"/>
      </w:r>
      <w:r>
        <w:rPr>
          <w:rFonts w:ascii="Times New Roman" w:hAnsi="Times New Roman" w:cs="Times New Roman" w:hint="eastAsia"/>
          <w:szCs w:val="21"/>
        </w:rPr>
        <w:t xml:space="preserve">. </w:t>
      </w:r>
    </w:p>
    <w:p w14:paraId="5D1B6F92" w14:textId="07B9B4CB" w:rsidR="00944D3F" w:rsidRDefault="00000000" w:rsidP="00944D3F">
      <w:pPr>
        <w:pStyle w:val="af"/>
        <w:widowControl/>
        <w:shd w:val="clear" w:color="auto" w:fill="FFFFFF"/>
        <w:suppressAutoHyphens/>
        <w:spacing w:line="360" w:lineRule="auto"/>
        <w:rPr>
          <w:rFonts w:ascii="Times New Roman" w:hAnsi="Times New Roman" w:cs="Times New Roman"/>
          <w:szCs w:val="21"/>
        </w:rPr>
      </w:pPr>
      <w:r w:rsidRPr="0083523B">
        <w:rPr>
          <w:rFonts w:ascii="Times New Roman" w:hAnsi="Times New Roman" w:cs="Times New Roman"/>
          <w:szCs w:val="21"/>
        </w:rPr>
        <w:lastRenderedPageBreak/>
        <w:t xml:space="preserve">The </w:t>
      </w:r>
      <w:r>
        <w:rPr>
          <w:rFonts w:ascii="Times New Roman" w:hAnsi="Times New Roman" w:cs="Times New Roman" w:hint="eastAsia"/>
          <w:szCs w:val="21"/>
        </w:rPr>
        <w:t>Chinese</w:t>
      </w:r>
      <w:r>
        <w:rPr>
          <w:rFonts w:ascii="Times New Roman" w:hAnsi="Times New Roman" w:cs="Times New Roman"/>
          <w:szCs w:val="21"/>
        </w:rPr>
        <w:t xml:space="preserve"> </w:t>
      </w:r>
      <w:r>
        <w:rPr>
          <w:rFonts w:ascii="Times New Roman" w:hAnsi="Times New Roman" w:cs="Times New Roman" w:hint="eastAsia"/>
          <w:szCs w:val="21"/>
        </w:rPr>
        <w:t>giant salamander</w:t>
      </w:r>
      <w:r w:rsidRPr="0083523B">
        <w:rPr>
          <w:rFonts w:ascii="Times New Roman" w:hAnsi="Times New Roman" w:cs="Times New Roman"/>
          <w:szCs w:val="21"/>
        </w:rPr>
        <w:t xml:space="preserve"> </w:t>
      </w:r>
      <w:r>
        <w:rPr>
          <w:rFonts w:ascii="Times New Roman" w:hAnsi="Times New Roman" w:cs="Times New Roman"/>
          <w:szCs w:val="21"/>
        </w:rPr>
        <w:t>(CGS</w:t>
      </w:r>
      <w:r w:rsidR="005B281A">
        <w:rPr>
          <w:rFonts w:ascii="Times New Roman" w:hAnsi="Times New Roman" w:cs="Times New Roman" w:hint="eastAsia"/>
          <w:szCs w:val="21"/>
        </w:rPr>
        <w:t>)</w:t>
      </w:r>
      <w:r w:rsidR="005B281A">
        <w:rPr>
          <w:rFonts w:ascii="Times New Roman" w:hAnsi="Times New Roman" w:cs="Times New Roman"/>
          <w:szCs w:val="21"/>
        </w:rPr>
        <w:t xml:space="preserve">, </w:t>
      </w:r>
      <w:r w:rsidRPr="005B281A">
        <w:rPr>
          <w:rFonts w:ascii="Times New Roman" w:hAnsi="Times New Roman" w:cs="Times New Roman" w:hint="eastAsia"/>
          <w:i/>
          <w:iCs/>
          <w:szCs w:val="21"/>
        </w:rPr>
        <w:t xml:space="preserve">Andrias </w:t>
      </w:r>
      <w:proofErr w:type="spellStart"/>
      <w:r w:rsidRPr="005B281A">
        <w:rPr>
          <w:rFonts w:ascii="Times New Roman" w:hAnsi="Times New Roman" w:cs="Times New Roman" w:hint="eastAsia"/>
          <w:i/>
          <w:iCs/>
          <w:szCs w:val="21"/>
        </w:rPr>
        <w:t>davidianus</w:t>
      </w:r>
      <w:proofErr w:type="spellEnd"/>
      <w:r w:rsidR="005B281A">
        <w:rPr>
          <w:rFonts w:ascii="Times New Roman" w:hAnsi="Times New Roman" w:cs="Times New Roman"/>
          <w:szCs w:val="21"/>
        </w:rPr>
        <w:t xml:space="preserve">, </w:t>
      </w:r>
      <w:r>
        <w:rPr>
          <w:rFonts w:ascii="Times New Roman" w:hAnsi="Times New Roman" w:cs="Times New Roman"/>
          <w:szCs w:val="21"/>
        </w:rPr>
        <w:t>are</w:t>
      </w:r>
      <w:r>
        <w:rPr>
          <w:rFonts w:ascii="Times New Roman" w:hAnsi="Times New Roman" w:cs="Times New Roman" w:hint="eastAsia"/>
          <w:szCs w:val="21"/>
        </w:rPr>
        <w:t xml:space="preserve"> amphibian</w:t>
      </w:r>
      <w:r>
        <w:rPr>
          <w:rFonts w:ascii="Times New Roman" w:hAnsi="Times New Roman" w:cs="Times New Roman"/>
          <w:szCs w:val="21"/>
        </w:rPr>
        <w:t>s</w:t>
      </w:r>
      <w:r>
        <w:rPr>
          <w:rFonts w:ascii="Times New Roman" w:hAnsi="Times New Roman" w:cs="Times New Roman" w:hint="eastAsia"/>
          <w:szCs w:val="21"/>
        </w:rPr>
        <w:t xml:space="preserve"> </w:t>
      </w:r>
      <w:r>
        <w:rPr>
          <w:rFonts w:ascii="Times New Roman" w:hAnsi="Times New Roman" w:cs="Times New Roman"/>
          <w:szCs w:val="21"/>
        </w:rPr>
        <w:t>whose</w:t>
      </w:r>
      <w:r>
        <w:rPr>
          <w:rFonts w:ascii="Times New Roman" w:hAnsi="Times New Roman" w:cs="Times New Roman" w:hint="eastAsia"/>
          <w:szCs w:val="21"/>
        </w:rPr>
        <w:t xml:space="preserve"> larvae have a similar lifestyle to fish</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The</w:t>
      </w:r>
      <w:r w:rsidR="00FC3758">
        <w:rPr>
          <w:rFonts w:ascii="Times New Roman" w:hAnsi="Times New Roman" w:cs="Times New Roman"/>
          <w:szCs w:val="21"/>
        </w:rPr>
        <w:t xml:space="preserve"> CGS </w:t>
      </w:r>
      <w:r>
        <w:rPr>
          <w:rFonts w:ascii="Times New Roman" w:hAnsi="Times New Roman" w:cs="Times New Roman"/>
          <w:szCs w:val="21"/>
        </w:rPr>
        <w:t xml:space="preserve">have </w:t>
      </w:r>
      <w:r w:rsidR="00FC3758">
        <w:rPr>
          <w:rFonts w:ascii="Times New Roman" w:hAnsi="Times New Roman" w:cs="Times New Roman"/>
          <w:szCs w:val="21"/>
        </w:rPr>
        <w:t xml:space="preserve">high permeability </w:t>
      </w:r>
      <w:r>
        <w:rPr>
          <w:rFonts w:ascii="Times New Roman" w:hAnsi="Times New Roman" w:cs="Times New Roman"/>
          <w:szCs w:val="21"/>
        </w:rPr>
        <w:t>bare skin</w:t>
      </w:r>
      <w:r w:rsidR="00FC3758">
        <w:rPr>
          <w:rFonts w:ascii="Times New Roman" w:hAnsi="Times New Roman" w:cs="Times New Roman"/>
          <w:szCs w:val="21"/>
        </w:rPr>
        <w:t xml:space="preserve"> and</w:t>
      </w:r>
      <w:r w:rsidR="009046D8">
        <w:rPr>
          <w:rFonts w:ascii="Times New Roman" w:hAnsi="Times New Roman" w:cs="Times New Roman"/>
          <w:szCs w:val="21"/>
        </w:rPr>
        <w:t xml:space="preserve"> </w:t>
      </w:r>
      <w:r>
        <w:rPr>
          <w:rFonts w:ascii="Times New Roman" w:hAnsi="Times New Roman" w:cs="Times New Roman"/>
          <w:szCs w:val="21"/>
        </w:rPr>
        <w:t>highly sensitive to environmental changes</w:t>
      </w:r>
      <w:r w:rsidR="00FC3758">
        <w:rPr>
          <w:rFonts w:ascii="Times New Roman" w:hAnsi="Times New Roman" w:cs="Times New Roman"/>
          <w:szCs w:val="21"/>
        </w:rPr>
        <w:t xml:space="preserve">, </w:t>
      </w:r>
      <w:r w:rsidR="00FC3758">
        <w:rPr>
          <w:rFonts w:ascii="Times New Roman" w:hAnsi="Times New Roman" w:cs="Times New Roman" w:hint="eastAsia"/>
          <w:szCs w:val="21"/>
        </w:rPr>
        <w:t>can</w:t>
      </w:r>
      <w:r w:rsidR="00FC3758">
        <w:rPr>
          <w:rFonts w:ascii="Times New Roman" w:hAnsi="Times New Roman" w:cs="Times New Roman"/>
          <w:szCs w:val="21"/>
        </w:rPr>
        <w:t xml:space="preserve"> be </w:t>
      </w:r>
      <w:r>
        <w:rPr>
          <w:rFonts w:ascii="Times New Roman" w:hAnsi="Times New Roman" w:cs="Times New Roman"/>
          <w:szCs w:val="21"/>
        </w:rPr>
        <w:t>use</w:t>
      </w:r>
      <w:r w:rsidR="00FC3758">
        <w:rPr>
          <w:rFonts w:ascii="Times New Roman" w:hAnsi="Times New Roman" w:cs="Times New Roman"/>
          <w:szCs w:val="21"/>
        </w:rPr>
        <w:t xml:space="preserve">d as </w:t>
      </w:r>
      <w:r>
        <w:rPr>
          <w:rFonts w:ascii="Times New Roman" w:hAnsi="Times New Roman" w:cs="Times New Roman"/>
          <w:szCs w:val="21"/>
        </w:rPr>
        <w:t>water quality</w:t>
      </w:r>
      <w:r w:rsidR="00FC3758">
        <w:rPr>
          <w:rFonts w:ascii="Times New Roman" w:hAnsi="Times New Roman" w:cs="Times New Roman"/>
          <w:szCs w:val="21"/>
        </w:rPr>
        <w:t xml:space="preserve"> </w:t>
      </w:r>
      <w:r w:rsidR="0004209F">
        <w:rPr>
          <w:rFonts w:ascii="Times New Roman" w:hAnsi="Times New Roman" w:cs="Times New Roman"/>
          <w:szCs w:val="21"/>
        </w:rPr>
        <w:t>bio-</w:t>
      </w:r>
      <w:r w:rsidR="00FC3758">
        <w:rPr>
          <w:rFonts w:ascii="Times New Roman" w:hAnsi="Times New Roman" w:cs="Times New Roman"/>
          <w:szCs w:val="21"/>
        </w:rPr>
        <w:t>indicator</w:t>
      </w:r>
      <w:r w:rsidR="00445D6D">
        <w:rPr>
          <w:rFonts w:ascii="Times New Roman" w:hAnsi="Times New Roman" w:cs="Times New Roman"/>
          <w:szCs w:val="21"/>
        </w:rPr>
        <w:t xml:space="preserve"> </w:t>
      </w:r>
      <w:r w:rsidR="00896929">
        <w:rPr>
          <w:rFonts w:ascii="Times New Roman" w:hAnsi="Times New Roman" w:cs="Times New Roman"/>
          <w:szCs w:val="21"/>
          <w:vertAlign w:val="superscript"/>
        </w:rPr>
        <w:fldChar w:fldCharType="begin" w:fldLock="1"/>
      </w:r>
      <w:r w:rsidR="00CA0A24">
        <w:rPr>
          <w:rFonts w:ascii="Times New Roman" w:hAnsi="Times New Roman" w:cs="Times New Roman"/>
          <w:szCs w:val="21"/>
          <w:vertAlign w:val="superscript"/>
        </w:rPr>
        <w:instrText>ADDIN CSL_CITATION {"citationItems":[{"id":"ITEM-1","itemData":{"DOI":"10.1201/9781420037500.ch3","ISBN":"9781420037500","abstract":"Focusing on state-of-the-art biological testing and methods used for aquatic ecosystem health assessment, Ecotoxicological Testing of Marine and Freshwater Ecosystems: Emerging Techniques, Trends, and Strategies evaluates the latest bioassay techniques and different types of water and sediment quality assessments. The book also explores multi-tiered approaches to making recommendations for the preservation, enhancement, and restoration of ecosystem functions as well as risk perception and communication strategies for investigators, policy makers, government agencies, and the public.\" \"Contributed by leading field experts, Ecotoxicological Testing of Marine and Freshwater Ecosystems: Emerging Techniques, Trends, and Strategies presents new possibilities for prognostic tools that can be used for early detection systems and integrative approaches that foster informed decision-making consisting of evidence-based risk assessment for remediation, treatment, and maintenance in environmental and resource management.","author":[{"dropping-particle":"","family":"Porte Visa","given":"C","non-dropping-particle":"","parse-names":false,"suffix":""},{"dropping-particle":"","family":"Brink","given":"N","non-dropping-particle":"van den","parse-names":false,"suffix":""},{"dropping-particle":"","family":"Oost","given":"R","non-dropping-particle":"van der","parse-names":false,"suffix":""}],"container-title":"Biological Testing in Marine &amp; Freshwaters: Trends, Relevance and Linkages to Ecosystem Health","id":"ITEM-1","issue":"January 2016","issued":{"date-parts":[["2005"]]},"page":"87-152","title":"Biomarkers in environmental assessment","type":"chapter"},"uris":["http://www.mendeley.com/documents/?uuid=cc1a809b-4f4d-4f44-9630-eb932589a6f2"]},{"id":"ITEM-2","itemData":{"DOI":"10.1007/s00244-021-00844-0","ISBN":"0123456789","ISSN":"14320703","PMID":"33839894","author":[{"dropping-particle":"","family":"Langlois","given":"Valérie S.","non-dropping-particle":"","parse-names":false,"suffix":""}],"container-title":"Archives of Environmental Contamination and Toxicology","id":"ITEM-2","issue":"4","issued":{"date-parts":[["2021"]]},"page":"661-662","publisher":"Springer US","title":"Amphibian Toxicology: A Rich But Underappreciated Model for Ecotoxicology Research","type":"article-journal","volume":"80"},"uris":["http://www.mendeley.com/documents/?uuid=88778980-0626-4a21-ab71-4d915e64928c"]}],"mendeley":{"formattedCitation":"(Langlois, 2021; Porte Visa et al., 2005)","plainTextFormattedCitation":"(Langlois, 2021; Porte Visa et al., 2005)","previouslyFormattedCitation":"(Langlois, 2021; Porte Visa et al., 2005)"},"properties":{"noteIndex":0},"schema":"https://github.com/citation-style-language/schema/raw/master/csl-citation.json"}</w:instrText>
      </w:r>
      <w:r w:rsidR="00896929">
        <w:rPr>
          <w:rFonts w:ascii="Times New Roman" w:hAnsi="Times New Roman" w:cs="Times New Roman"/>
          <w:szCs w:val="21"/>
          <w:vertAlign w:val="superscript"/>
        </w:rPr>
        <w:fldChar w:fldCharType="separate"/>
      </w:r>
      <w:r w:rsidR="00896929" w:rsidRPr="00896929">
        <w:rPr>
          <w:rFonts w:ascii="Times New Roman" w:hAnsi="Times New Roman" w:cs="Times New Roman"/>
          <w:noProof/>
          <w:szCs w:val="21"/>
        </w:rPr>
        <w:t>(Langlois, 2021; Porte Visa et al., 2005)</w:t>
      </w:r>
      <w:r w:rsidR="00896929">
        <w:rPr>
          <w:rFonts w:ascii="Times New Roman" w:hAnsi="Times New Roman" w:cs="Times New Roman"/>
          <w:szCs w:val="21"/>
          <w:vertAlign w:val="superscript"/>
        </w:rPr>
        <w:fldChar w:fldCharType="end"/>
      </w:r>
      <w:r>
        <w:rPr>
          <w:rFonts w:ascii="Times New Roman" w:hAnsi="Times New Roman" w:cs="Times New Roman"/>
          <w:szCs w:val="21"/>
        </w:rPr>
        <w:t xml:space="preserve">. However, limited studies </w:t>
      </w:r>
      <w:r>
        <w:rPr>
          <w:rFonts w:ascii="Times New Roman" w:hAnsi="Times New Roman" w:cs="Times New Roman" w:hint="eastAsia"/>
          <w:szCs w:val="21"/>
        </w:rPr>
        <w:t xml:space="preserve">on the toxic effects of pyrethroids and other pesticides on amphibians. </w:t>
      </w:r>
      <w:r w:rsidR="00813AFC">
        <w:rPr>
          <w:rFonts w:ascii="Times New Roman" w:hAnsi="Times New Roman" w:cs="Times New Roman"/>
          <w:szCs w:val="21"/>
        </w:rPr>
        <w:t xml:space="preserve">Especially </w:t>
      </w:r>
      <w:r>
        <w:rPr>
          <w:rFonts w:ascii="Times New Roman" w:hAnsi="Times New Roman" w:cs="Times New Roman" w:hint="eastAsia"/>
          <w:szCs w:val="21"/>
        </w:rPr>
        <w:t xml:space="preserve">the molecular toxicological effects of </w:t>
      </w:r>
      <w:r w:rsidR="004F61AD">
        <w:rPr>
          <w:rFonts w:ascii="Times New Roman" w:hAnsi="Times New Roman" w:cs="Times New Roman"/>
          <w:szCs w:val="21"/>
        </w:rPr>
        <w:t>external compounds</w:t>
      </w:r>
      <w:r>
        <w:rPr>
          <w:rFonts w:ascii="Times New Roman" w:hAnsi="Times New Roman" w:cs="Times New Roman" w:hint="eastAsia"/>
          <w:szCs w:val="21"/>
        </w:rPr>
        <w:t xml:space="preserve"> on the </w:t>
      </w:r>
      <w:r>
        <w:rPr>
          <w:rFonts w:ascii="Times New Roman" w:eastAsia="宋体" w:hAnsi="Times New Roman" w:cs="Times New Roman"/>
          <w:szCs w:val="21"/>
        </w:rPr>
        <w:t>CGS</w:t>
      </w:r>
      <w:r>
        <w:rPr>
          <w:rFonts w:ascii="Times New Roman" w:hAnsi="Times New Roman" w:cs="Times New Roman" w:hint="eastAsia"/>
          <w:szCs w:val="21"/>
        </w:rPr>
        <w:t>, a non-model experimental organism lacking complete genomi</w:t>
      </w:r>
      <w:r>
        <w:rPr>
          <w:rFonts w:ascii="Times New Roman" w:hAnsi="Times New Roman" w:cs="Times New Roman"/>
          <w:szCs w:val="21"/>
        </w:rPr>
        <w:t xml:space="preserve">c information, has not been fully elucidated. In </w:t>
      </w:r>
      <w:r w:rsidR="00337CC2">
        <w:rPr>
          <w:rFonts w:ascii="Times New Roman" w:hAnsi="Times New Roman" w:cs="Times New Roman"/>
          <w:szCs w:val="21"/>
        </w:rPr>
        <w:t>present</w:t>
      </w:r>
      <w:r>
        <w:rPr>
          <w:rFonts w:ascii="Times New Roman" w:hAnsi="Times New Roman" w:cs="Times New Roman"/>
          <w:szCs w:val="21"/>
        </w:rPr>
        <w:t xml:space="preserve"> study, </w:t>
      </w:r>
      <w:r>
        <w:rPr>
          <w:rFonts w:ascii="Times New Roman" w:eastAsia="宋体" w:hAnsi="Times New Roman" w:cs="Times New Roman"/>
          <w:szCs w:val="21"/>
        </w:rPr>
        <w:t xml:space="preserve">we utilized the CGS </w:t>
      </w:r>
      <w:r>
        <w:rPr>
          <w:rFonts w:ascii="Times New Roman" w:hAnsi="Times New Roman" w:cs="Times New Roman"/>
          <w:szCs w:val="21"/>
        </w:rPr>
        <w:t xml:space="preserve">as </w:t>
      </w:r>
      <w:r w:rsidR="008B5211">
        <w:rPr>
          <w:rFonts w:ascii="Times New Roman" w:hAnsi="Times New Roman" w:cs="Times New Roman"/>
          <w:szCs w:val="21"/>
        </w:rPr>
        <w:t>target organism</w:t>
      </w:r>
      <w:r w:rsidR="008B5211">
        <w:rPr>
          <w:rFonts w:ascii="Times New Roman" w:eastAsia="宋体" w:hAnsi="Times New Roman" w:cs="Times New Roman"/>
          <w:szCs w:val="21"/>
        </w:rPr>
        <w:t xml:space="preserve"> </w:t>
      </w:r>
      <w:r w:rsidR="005E3D4F">
        <w:rPr>
          <w:rFonts w:ascii="Times New Roman" w:eastAsia="宋体" w:hAnsi="Times New Roman" w:cs="Times New Roman"/>
          <w:szCs w:val="21"/>
        </w:rPr>
        <w:t xml:space="preserve">to </w:t>
      </w:r>
      <w:r w:rsidR="008B5211">
        <w:rPr>
          <w:rFonts w:ascii="Times New Roman" w:eastAsia="宋体" w:hAnsi="Times New Roman" w:cs="Times New Roman"/>
          <w:szCs w:val="21"/>
        </w:rPr>
        <w:t>investigat</w:t>
      </w:r>
      <w:r w:rsidR="005E3D4F">
        <w:rPr>
          <w:rFonts w:ascii="Times New Roman" w:eastAsia="宋体" w:hAnsi="Times New Roman" w:cs="Times New Roman"/>
          <w:szCs w:val="21"/>
        </w:rPr>
        <w:t>e</w:t>
      </w:r>
      <w:r>
        <w:rPr>
          <w:rFonts w:ascii="Times New Roman" w:eastAsia="宋体" w:hAnsi="Times New Roman" w:cs="Times New Roman"/>
          <w:szCs w:val="21"/>
        </w:rPr>
        <w:t xml:space="preserve"> the</w:t>
      </w:r>
      <w:r w:rsidR="005E3D4F">
        <w:rPr>
          <w:rFonts w:ascii="Times New Roman" w:eastAsia="宋体" w:hAnsi="Times New Roman" w:cs="Times New Roman"/>
          <w:szCs w:val="21"/>
        </w:rPr>
        <w:t xml:space="preserve"> toxic</w:t>
      </w:r>
      <w:r w:rsidR="008B5211">
        <w:rPr>
          <w:rFonts w:ascii="Times New Roman" w:eastAsia="宋体" w:hAnsi="Times New Roman" w:cs="Times New Roman"/>
          <w:szCs w:val="21"/>
        </w:rPr>
        <w:t xml:space="preserve"> effect of </w:t>
      </w:r>
      <w:r w:rsidR="008B5211">
        <w:rPr>
          <w:rFonts w:ascii="Times New Roman" w:hAnsi="Times New Roman" w:cs="Times New Roman"/>
          <w:szCs w:val="21"/>
        </w:rPr>
        <w:t>bifenthrin on</w:t>
      </w:r>
      <w:r w:rsidR="005E3D4F">
        <w:rPr>
          <w:rFonts w:ascii="Times New Roman" w:hAnsi="Times New Roman" w:cs="Times New Roman"/>
          <w:szCs w:val="21"/>
        </w:rPr>
        <w:t xml:space="preserve"> CGS</w:t>
      </w:r>
      <w:r w:rsidR="005563C1">
        <w:rPr>
          <w:rFonts w:ascii="Times New Roman" w:hAnsi="Times New Roman" w:cs="Times New Roman"/>
          <w:szCs w:val="21"/>
        </w:rPr>
        <w:t xml:space="preserve">, comparing </w:t>
      </w:r>
      <w:r>
        <w:rPr>
          <w:rFonts w:ascii="Times New Roman" w:eastAsia="宋体" w:hAnsi="Times New Roman" w:cs="Times New Roman"/>
          <w:szCs w:val="21"/>
        </w:rPr>
        <w:t xml:space="preserve">behavioral changes, liver histopathology, oxidative stress factors, DNA damage effects, and transcriptome differences </w:t>
      </w:r>
      <w:r w:rsidR="005563C1">
        <w:rPr>
          <w:rFonts w:ascii="Times New Roman" w:eastAsia="宋体" w:hAnsi="Times New Roman" w:cs="Times New Roman"/>
          <w:szCs w:val="21"/>
        </w:rPr>
        <w:t>between</w:t>
      </w:r>
      <w:r>
        <w:rPr>
          <w:rFonts w:ascii="Times New Roman" w:eastAsia="宋体" w:hAnsi="Times New Roman" w:cs="Times New Roman"/>
          <w:szCs w:val="21"/>
        </w:rPr>
        <w:t xml:space="preserve"> the control </w:t>
      </w:r>
      <w:r>
        <w:rPr>
          <w:rFonts w:ascii="Times New Roman" w:hAnsi="Times New Roman" w:cs="Times New Roman"/>
          <w:szCs w:val="21"/>
        </w:rPr>
        <w:t>and bifenthrin</w:t>
      </w:r>
      <w:r w:rsidR="005563C1">
        <w:rPr>
          <w:rFonts w:ascii="Times New Roman" w:hAnsi="Times New Roman" w:cs="Times New Roman"/>
          <w:szCs w:val="21"/>
        </w:rPr>
        <w:t xml:space="preserve"> </w:t>
      </w:r>
      <w:r w:rsidR="005563C1">
        <w:rPr>
          <w:rFonts w:ascii="Times New Roman" w:hAnsi="Times New Roman" w:cs="Times New Roman" w:hint="eastAsia"/>
          <w:szCs w:val="21"/>
        </w:rPr>
        <w:t>treatments</w:t>
      </w:r>
      <w:r w:rsidR="005E3D4F">
        <w:rPr>
          <w:rFonts w:ascii="Times New Roman" w:hAnsi="Times New Roman" w:cs="Times New Roman"/>
          <w:szCs w:val="21"/>
        </w:rPr>
        <w:t>. The results</w:t>
      </w:r>
      <w:r>
        <w:rPr>
          <w:rFonts w:ascii="Times New Roman" w:hAnsi="Times New Roman" w:cs="Times New Roman"/>
          <w:szCs w:val="21"/>
        </w:rPr>
        <w:t xml:space="preserve"> </w:t>
      </w:r>
      <w:r w:rsidR="005E3D4F">
        <w:rPr>
          <w:rFonts w:ascii="Times New Roman" w:hAnsi="Times New Roman" w:cs="Times New Roman"/>
          <w:szCs w:val="21"/>
        </w:rPr>
        <w:t>would</w:t>
      </w:r>
      <w:r>
        <w:rPr>
          <w:rFonts w:ascii="Times New Roman" w:hAnsi="Times New Roman" w:cs="Times New Roman"/>
          <w:szCs w:val="21"/>
        </w:rPr>
        <w:t xml:space="preserve"> provide </w:t>
      </w:r>
      <w:r w:rsidR="006B1978" w:rsidRPr="00E334CE">
        <w:rPr>
          <w:rFonts w:ascii="Times New Roman" w:eastAsia="宋体" w:hAnsi="Times New Roman" w:cs="Times New Roman"/>
          <w:szCs w:val="21"/>
        </w:rPr>
        <w:t>theoretical basis for the rational use of pyrethrins and environmental risks, and scientific guidance for the conservation of amphibian populations.</w:t>
      </w:r>
      <w:r w:rsidR="00944D3F" w:rsidRPr="00944D3F">
        <w:rPr>
          <w:rFonts w:ascii="Times New Roman" w:hAnsi="Times New Roman"/>
          <w:szCs w:val="21"/>
        </w:rPr>
        <w:t xml:space="preserve"> </w:t>
      </w:r>
    </w:p>
    <w:p w14:paraId="52AA6271" w14:textId="77777777" w:rsidR="00950088" w:rsidRDefault="00000000" w:rsidP="00FC3758">
      <w:pPr>
        <w:pStyle w:val="af"/>
        <w:numPr>
          <w:ilvl w:val="0"/>
          <w:numId w:val="1"/>
        </w:numPr>
        <w:suppressAutoHyphens/>
        <w:spacing w:line="360" w:lineRule="auto"/>
        <w:ind w:firstLineChars="0"/>
        <w:rPr>
          <w:rFonts w:ascii="Times New Roman" w:hAnsi="Times New Roman" w:cs="Times New Roman"/>
          <w:b/>
          <w:bCs/>
          <w:szCs w:val="21"/>
        </w:rPr>
      </w:pPr>
      <w:r>
        <w:rPr>
          <w:rFonts w:ascii="Times New Roman" w:hAnsi="Times New Roman" w:cs="Times New Roman"/>
          <w:b/>
          <w:bCs/>
          <w:szCs w:val="21"/>
        </w:rPr>
        <w:t>Materials and Methods</w:t>
      </w:r>
    </w:p>
    <w:p w14:paraId="2F78A605" w14:textId="75D05B1A"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bookmarkStart w:id="4" w:name="_Hlk126748183"/>
      <w:r>
        <w:rPr>
          <w:rFonts w:ascii="Times New Roman" w:hAnsi="Times New Roman" w:cs="Times New Roman" w:hint="eastAsia"/>
          <w:szCs w:val="21"/>
        </w:rPr>
        <w:t>A</w:t>
      </w:r>
      <w:r>
        <w:rPr>
          <w:rFonts w:ascii="Times New Roman" w:hAnsi="Times New Roman" w:cs="Times New Roman"/>
          <w:szCs w:val="21"/>
        </w:rPr>
        <w:t>nimals,</w:t>
      </w:r>
      <w:r>
        <w:rPr>
          <w:rFonts w:ascii="Times New Roman" w:hAnsi="Times New Roman" w:cs="Times New Roman" w:hint="eastAsia"/>
          <w:szCs w:val="21"/>
        </w:rPr>
        <w:t xml:space="preserve"> c</w:t>
      </w:r>
      <w:r>
        <w:rPr>
          <w:rFonts w:ascii="Times New Roman" w:hAnsi="Times New Roman" w:cs="Times New Roman"/>
          <w:szCs w:val="21"/>
        </w:rPr>
        <w:t>hemicals, and experimental design</w:t>
      </w:r>
    </w:p>
    <w:bookmarkEnd w:id="4"/>
    <w:p w14:paraId="32D5A657" w14:textId="4C8FB0AC" w:rsidR="00950088" w:rsidRDefault="00000000">
      <w:pPr>
        <w:autoSpaceDE w:val="0"/>
        <w:autoSpaceDN w:val="0"/>
        <w:spacing w:line="360" w:lineRule="auto"/>
        <w:ind w:rightChars="-3" w:right="-6" w:firstLineChars="200" w:firstLine="420"/>
        <w:contextualSpacing/>
        <w:rPr>
          <w:rFonts w:ascii="Times New Roman" w:eastAsia="宋体" w:hAnsi="Times New Roman" w:cs="Times New Roman"/>
          <w:szCs w:val="21"/>
        </w:rPr>
      </w:pPr>
      <w:r>
        <w:rPr>
          <w:rFonts w:ascii="Times New Roman" w:eastAsia="宋体" w:hAnsi="Times New Roman" w:cs="Times New Roman"/>
          <w:szCs w:val="21"/>
        </w:rPr>
        <w:t xml:space="preserve">BF and dimethyl sulfoxide (DMSO) used in this study was purchased from </w:t>
      </w:r>
      <w:r w:rsidR="00376709" w:rsidRPr="0020188A">
        <w:rPr>
          <w:rFonts w:ascii="Times New Roman" w:eastAsia="宋体" w:hAnsi="Times New Roman" w:cs="Times New Roman"/>
          <w:szCs w:val="21"/>
        </w:rPr>
        <w:t>Aladdin Bio-Chem Technology (Shanghai, China) and TCI chemicals (Shanghai, China)</w:t>
      </w:r>
      <w:r w:rsidR="00376709">
        <w:rPr>
          <w:rFonts w:ascii="Times New Roman" w:eastAsia="宋体" w:hAnsi="Times New Roman" w:cs="Times New Roman"/>
          <w:szCs w:val="21"/>
        </w:rPr>
        <w:t xml:space="preserve">, </w:t>
      </w:r>
      <w:r w:rsidRPr="00FC3758">
        <w:rPr>
          <w:rFonts w:ascii="Times New Roman" w:eastAsia="宋体" w:hAnsi="Times New Roman" w:cs="Times New Roman"/>
          <w:szCs w:val="21"/>
        </w:rPr>
        <w:t xml:space="preserve">respectively. </w:t>
      </w:r>
      <w:r w:rsidR="00376709" w:rsidRPr="0020188A">
        <w:rPr>
          <w:rFonts w:ascii="Times New Roman" w:eastAsia="宋体" w:hAnsi="Times New Roman" w:cs="Times New Roman"/>
          <w:szCs w:val="21"/>
        </w:rPr>
        <w:t xml:space="preserve">The study was conducted in the College of Life Science, </w:t>
      </w:r>
      <w:proofErr w:type="spellStart"/>
      <w:r w:rsidR="00376709" w:rsidRPr="0020188A">
        <w:rPr>
          <w:rFonts w:ascii="Times New Roman" w:eastAsia="宋体" w:hAnsi="Times New Roman" w:cs="Times New Roman"/>
          <w:szCs w:val="21"/>
        </w:rPr>
        <w:t>Anqing</w:t>
      </w:r>
      <w:proofErr w:type="spellEnd"/>
      <w:r w:rsidR="00376709" w:rsidRPr="0020188A">
        <w:rPr>
          <w:rFonts w:ascii="Times New Roman" w:eastAsia="宋体" w:hAnsi="Times New Roman" w:cs="Times New Roman"/>
          <w:szCs w:val="21"/>
        </w:rPr>
        <w:t xml:space="preserve"> Normal University (</w:t>
      </w:r>
      <w:proofErr w:type="spellStart"/>
      <w:r w:rsidR="00376709" w:rsidRPr="0020188A">
        <w:rPr>
          <w:rFonts w:ascii="Times New Roman" w:eastAsia="宋体" w:hAnsi="Times New Roman" w:cs="Times New Roman"/>
          <w:szCs w:val="21"/>
        </w:rPr>
        <w:t>Anqing</w:t>
      </w:r>
      <w:proofErr w:type="spellEnd"/>
      <w:r w:rsidR="00376709" w:rsidRPr="0020188A">
        <w:rPr>
          <w:rFonts w:ascii="Times New Roman" w:eastAsia="宋体" w:hAnsi="Times New Roman" w:cs="Times New Roman"/>
          <w:szCs w:val="21"/>
        </w:rPr>
        <w:t xml:space="preserve">, China). </w:t>
      </w:r>
      <w:r w:rsidR="00D124A9">
        <w:rPr>
          <w:rFonts w:ascii="Times New Roman" w:eastAsia="宋体" w:hAnsi="Times New Roman" w:cs="Times New Roman"/>
          <w:szCs w:val="21"/>
        </w:rPr>
        <w:t xml:space="preserve">100 </w:t>
      </w:r>
      <w:r w:rsidR="00D124A9" w:rsidRPr="00FC3758">
        <w:rPr>
          <w:rFonts w:ascii="Times New Roman" w:eastAsia="宋体" w:hAnsi="Times New Roman" w:cs="Times New Roman"/>
          <w:szCs w:val="21"/>
        </w:rPr>
        <w:t>CGSs</w:t>
      </w:r>
      <w:r w:rsidR="00D124A9">
        <w:rPr>
          <w:rFonts w:ascii="Times New Roman" w:eastAsia="宋体" w:hAnsi="Times New Roman" w:cs="Times New Roman"/>
          <w:szCs w:val="21"/>
        </w:rPr>
        <w:t xml:space="preserve"> larvae at</w:t>
      </w:r>
      <w:r w:rsidR="00D124A9" w:rsidRPr="00FC3758">
        <w:rPr>
          <w:rFonts w:ascii="Times New Roman" w:eastAsia="宋体" w:hAnsi="Times New Roman" w:cs="Times New Roman"/>
          <w:szCs w:val="21"/>
        </w:rPr>
        <w:t xml:space="preserve"> </w:t>
      </w:r>
      <w:r w:rsidRPr="00FC3758">
        <w:rPr>
          <w:rFonts w:ascii="Times New Roman" w:eastAsia="宋体" w:hAnsi="Times New Roman" w:cs="Times New Roman"/>
          <w:szCs w:val="21"/>
        </w:rPr>
        <w:t xml:space="preserve">8-month-old </w:t>
      </w:r>
      <w:r>
        <w:rPr>
          <w:rFonts w:ascii="Times New Roman" w:eastAsia="宋体" w:hAnsi="Times New Roman" w:cs="Times New Roman"/>
          <w:szCs w:val="21"/>
        </w:rPr>
        <w:t>w</w:t>
      </w:r>
      <w:r w:rsidR="004D0E47">
        <w:rPr>
          <w:rFonts w:ascii="Times New Roman" w:eastAsia="宋体" w:hAnsi="Times New Roman" w:cs="Times New Roman"/>
          <w:szCs w:val="21"/>
        </w:rPr>
        <w:t>ere</w:t>
      </w:r>
      <w:r w:rsidRPr="00FC3758">
        <w:rPr>
          <w:rFonts w:ascii="Times New Roman" w:eastAsia="宋体" w:hAnsi="Times New Roman" w:cs="Times New Roman"/>
          <w:szCs w:val="21"/>
        </w:rPr>
        <w:t xml:space="preserve"> purchased from a CGS farm </w:t>
      </w:r>
      <w:r w:rsidR="00376709">
        <w:rPr>
          <w:rFonts w:ascii="Times New Roman" w:eastAsia="宋体" w:hAnsi="Times New Roman" w:cs="Times New Roman" w:hint="eastAsia"/>
          <w:szCs w:val="21"/>
        </w:rPr>
        <w:t>(</w:t>
      </w:r>
      <w:proofErr w:type="spellStart"/>
      <w:r w:rsidRPr="00FC3758">
        <w:rPr>
          <w:rFonts w:ascii="Times New Roman" w:eastAsia="宋体" w:hAnsi="Times New Roman" w:cs="Times New Roman"/>
          <w:szCs w:val="21"/>
        </w:rPr>
        <w:t>Anqing</w:t>
      </w:r>
      <w:proofErr w:type="spellEnd"/>
      <w:r w:rsidRPr="00FC3758">
        <w:rPr>
          <w:rFonts w:ascii="Times New Roman" w:eastAsia="宋体" w:hAnsi="Times New Roman" w:cs="Times New Roman"/>
          <w:szCs w:val="21"/>
        </w:rPr>
        <w:t>, China</w:t>
      </w:r>
      <w:r w:rsidR="00376709">
        <w:rPr>
          <w:rFonts w:ascii="Times New Roman" w:eastAsia="宋体" w:hAnsi="Times New Roman" w:cs="Times New Roman"/>
          <w:szCs w:val="21"/>
        </w:rPr>
        <w:t>)</w:t>
      </w:r>
      <w:r w:rsidRPr="00FC3758">
        <w:rPr>
          <w:rFonts w:ascii="Times New Roman" w:eastAsia="宋体" w:hAnsi="Times New Roman" w:cs="Times New Roman"/>
          <w:szCs w:val="21"/>
        </w:rPr>
        <w:t xml:space="preserve"> and acclimated in</w:t>
      </w:r>
      <w:r w:rsidR="00376709">
        <w:rPr>
          <w:rFonts w:ascii="Times New Roman" w:eastAsia="宋体" w:hAnsi="Times New Roman" w:cs="Times New Roman"/>
          <w:szCs w:val="21"/>
        </w:rPr>
        <w:t xml:space="preserve"> a</w:t>
      </w:r>
      <w:r w:rsidRPr="00FC3758">
        <w:rPr>
          <w:rFonts w:ascii="Times New Roman" w:eastAsia="宋体" w:hAnsi="Times New Roman" w:cs="Times New Roman"/>
          <w:szCs w:val="21"/>
        </w:rPr>
        <w:t xml:space="preserve"> </w:t>
      </w:r>
      <w:r w:rsidR="00A744C8">
        <w:rPr>
          <w:rFonts w:ascii="Times New Roman" w:eastAsia="宋体" w:hAnsi="Times New Roman" w:cs="Times New Roman"/>
          <w:szCs w:val="21"/>
        </w:rPr>
        <w:t>10</w:t>
      </w:r>
      <w:r w:rsidR="00D124A9" w:rsidRPr="00806006">
        <w:rPr>
          <w:rFonts w:ascii="Times New Roman" w:eastAsia="宋体" w:hAnsi="Times New Roman" w:cs="Times New Roman"/>
          <w:szCs w:val="21"/>
        </w:rPr>
        <w:t xml:space="preserve">0 </w:t>
      </w:r>
      <w:r w:rsidR="00376709" w:rsidRPr="00806006">
        <w:rPr>
          <w:rFonts w:ascii="Times New Roman" w:eastAsia="宋体" w:hAnsi="Times New Roman" w:cs="Times New Roman"/>
          <w:szCs w:val="21"/>
        </w:rPr>
        <w:t>L</w:t>
      </w:r>
      <w:r w:rsidRPr="00806006">
        <w:rPr>
          <w:rFonts w:ascii="Times New Roman" w:eastAsia="宋体" w:hAnsi="Times New Roman" w:cs="Times New Roman"/>
          <w:szCs w:val="21"/>
        </w:rPr>
        <w:t xml:space="preserve"> aquarium for </w:t>
      </w:r>
      <w:r w:rsidR="001171B8" w:rsidRPr="00806006">
        <w:rPr>
          <w:rFonts w:ascii="Times New Roman" w:eastAsia="宋体" w:hAnsi="Times New Roman" w:cs="Times New Roman"/>
          <w:szCs w:val="21"/>
        </w:rPr>
        <w:t>1</w:t>
      </w:r>
      <w:r w:rsidRPr="00806006">
        <w:rPr>
          <w:rFonts w:ascii="Times New Roman" w:eastAsia="宋体" w:hAnsi="Times New Roman" w:cs="Times New Roman"/>
          <w:szCs w:val="21"/>
        </w:rPr>
        <w:t xml:space="preserve"> week</w:t>
      </w:r>
      <w:r w:rsidR="00806006" w:rsidRPr="00806006">
        <w:rPr>
          <w:rFonts w:ascii="Times New Roman" w:eastAsia="宋体" w:hAnsi="Times New Roman" w:cs="Times New Roman"/>
          <w:szCs w:val="21"/>
        </w:rPr>
        <w:t xml:space="preserve">, </w:t>
      </w:r>
      <w:r w:rsidRPr="00806006">
        <w:rPr>
          <w:rFonts w:ascii="Times New Roman" w:eastAsia="宋体" w:hAnsi="Times New Roman" w:cs="Times New Roman"/>
          <w:szCs w:val="21"/>
        </w:rPr>
        <w:t>us</w:t>
      </w:r>
      <w:r w:rsidR="00376709" w:rsidRPr="00806006">
        <w:rPr>
          <w:rFonts w:ascii="Times New Roman" w:eastAsia="宋体" w:hAnsi="Times New Roman" w:cs="Times New Roman"/>
          <w:szCs w:val="21"/>
        </w:rPr>
        <w:t>ing</w:t>
      </w:r>
      <w:r w:rsidRPr="00806006">
        <w:rPr>
          <w:rFonts w:ascii="Times New Roman" w:eastAsia="宋体" w:hAnsi="Times New Roman" w:cs="Times New Roman"/>
          <w:szCs w:val="21"/>
        </w:rPr>
        <w:t xml:space="preserve"> dechlorinated tap water at 18</w:t>
      </w:r>
      <w:r w:rsidR="0002331C" w:rsidRPr="00806006">
        <w:rPr>
          <w:rFonts w:ascii="Times New Roman" w:eastAsia="宋体" w:hAnsi="Times New Roman" w:cs="Times New Roman"/>
          <w:szCs w:val="21"/>
        </w:rPr>
        <w:t xml:space="preserve"> ± </w:t>
      </w:r>
      <w:r w:rsidRPr="00806006">
        <w:rPr>
          <w:rFonts w:ascii="Times New Roman" w:eastAsia="宋体" w:hAnsi="Times New Roman" w:cs="Times New Roman"/>
          <w:szCs w:val="21"/>
        </w:rPr>
        <w:t>2</w:t>
      </w:r>
      <w:r w:rsidR="003332D8" w:rsidRPr="00806006">
        <w:rPr>
          <w:rFonts w:ascii="Times New Roman" w:eastAsia="宋体" w:hAnsi="Times New Roman" w:cs="Times New Roman" w:hint="eastAsia"/>
          <w:szCs w:val="21"/>
        </w:rPr>
        <w:t>℃</w:t>
      </w:r>
      <w:r w:rsidRPr="00806006">
        <w:rPr>
          <w:rFonts w:ascii="Times New Roman" w:eastAsia="宋体" w:hAnsi="Times New Roman" w:cs="Times New Roman"/>
          <w:szCs w:val="21"/>
        </w:rPr>
        <w:t>. CGSs had initial average</w:t>
      </w:r>
      <w:r>
        <w:rPr>
          <w:rFonts w:ascii="Times New Roman" w:eastAsia="宋体" w:hAnsi="Times New Roman" w:cs="Times New Roman"/>
          <w:szCs w:val="21"/>
        </w:rPr>
        <w:t xml:space="preserve"> body weight at 5.7 ± 0.3 g and a total length of 85 ± 10 mm.</w:t>
      </w:r>
      <w:r w:rsidRPr="00FC3758">
        <w:rPr>
          <w:rFonts w:ascii="Times New Roman" w:eastAsia="宋体" w:hAnsi="Times New Roman" w:cs="Times New Roman"/>
          <w:szCs w:val="21"/>
        </w:rPr>
        <w:t xml:space="preserve"> </w:t>
      </w:r>
      <w:r w:rsidR="009530B8">
        <w:rPr>
          <w:rFonts w:ascii="Times New Roman" w:eastAsia="宋体" w:hAnsi="Times New Roman" w:cs="Times New Roman"/>
          <w:szCs w:val="21"/>
        </w:rPr>
        <w:t>A</w:t>
      </w:r>
      <w:r w:rsidR="009530B8">
        <w:rPr>
          <w:rFonts w:ascii="Times New Roman" w:eastAsia="宋体" w:hAnsi="Times New Roman" w:cs="Times New Roman" w:hint="eastAsia"/>
          <w:szCs w:val="21"/>
        </w:rPr>
        <w:t>ll</w:t>
      </w:r>
      <w:r w:rsidRPr="00FC3758">
        <w:rPr>
          <w:rFonts w:ascii="Times New Roman" w:eastAsia="宋体" w:hAnsi="Times New Roman" w:cs="Times New Roman"/>
          <w:szCs w:val="21"/>
        </w:rPr>
        <w:t xml:space="preserve"> </w:t>
      </w:r>
      <w:r w:rsidR="009530B8">
        <w:rPr>
          <w:rFonts w:ascii="Times New Roman" w:eastAsia="宋体" w:hAnsi="Times New Roman" w:cs="Times New Roman"/>
          <w:szCs w:val="21"/>
        </w:rPr>
        <w:t>CGS</w:t>
      </w:r>
      <w:r w:rsidRPr="00FC3758">
        <w:rPr>
          <w:rFonts w:ascii="Times New Roman" w:eastAsia="宋体" w:hAnsi="Times New Roman" w:cs="Times New Roman"/>
          <w:szCs w:val="21"/>
        </w:rPr>
        <w:t xml:space="preserve">s were not fed </w:t>
      </w:r>
      <w:r>
        <w:rPr>
          <w:rFonts w:ascii="Times New Roman" w:eastAsia="宋体" w:hAnsi="Times New Roman" w:cs="Times New Roman" w:hint="eastAsia"/>
          <w:szCs w:val="21"/>
        </w:rPr>
        <w:t>during</w:t>
      </w:r>
      <w:r w:rsidRPr="00FC3758">
        <w:rPr>
          <w:rFonts w:ascii="Times New Roman" w:eastAsia="宋体" w:hAnsi="Times New Roman" w:cs="Times New Roman"/>
          <w:szCs w:val="21"/>
        </w:rPr>
        <w:t xml:space="preserve"> the </w:t>
      </w:r>
      <w:r>
        <w:rPr>
          <w:rFonts w:ascii="Times New Roman" w:eastAsia="宋体" w:hAnsi="Times New Roman" w:cs="Times New Roman" w:hint="eastAsia"/>
          <w:szCs w:val="21"/>
        </w:rPr>
        <w:t xml:space="preserve">entire </w:t>
      </w:r>
      <w:r w:rsidR="009530B8">
        <w:rPr>
          <w:rFonts w:ascii="Times New Roman" w:eastAsia="宋体" w:hAnsi="Times New Roman" w:cs="Times New Roman"/>
          <w:szCs w:val="21"/>
        </w:rPr>
        <w:t>experiment</w:t>
      </w:r>
      <w:r w:rsidR="00706A62">
        <w:rPr>
          <w:rFonts w:ascii="Times New Roman" w:eastAsia="宋体" w:hAnsi="Times New Roman" w:cs="Times New Roman"/>
          <w:szCs w:val="21"/>
        </w:rPr>
        <w:t xml:space="preserve">, including </w:t>
      </w:r>
      <w:r w:rsidR="00706A62" w:rsidRPr="00706A62">
        <w:rPr>
          <w:rFonts w:ascii="Times New Roman" w:eastAsia="宋体" w:hAnsi="Times New Roman" w:cs="Times New Roman"/>
          <w:szCs w:val="21"/>
        </w:rPr>
        <w:t>domestication</w:t>
      </w:r>
      <w:r w:rsidR="00706A62">
        <w:rPr>
          <w:rFonts w:ascii="Times New Roman" w:eastAsia="宋体" w:hAnsi="Times New Roman" w:cs="Times New Roman"/>
          <w:szCs w:val="21"/>
        </w:rPr>
        <w:t xml:space="preserve"> </w:t>
      </w:r>
      <w:r w:rsidR="00706A62" w:rsidRPr="00706A62">
        <w:rPr>
          <w:rFonts w:ascii="Times New Roman" w:eastAsia="宋体" w:hAnsi="Times New Roman" w:cs="Times New Roman"/>
          <w:szCs w:val="21"/>
        </w:rPr>
        <w:t xml:space="preserve">period </w:t>
      </w:r>
      <w:r w:rsidR="00706A62">
        <w:rPr>
          <w:rFonts w:ascii="Times New Roman" w:eastAsia="宋体" w:hAnsi="Times New Roman" w:cs="Times New Roman"/>
          <w:szCs w:val="21"/>
        </w:rPr>
        <w:t xml:space="preserve">and exposure </w:t>
      </w:r>
      <w:r w:rsidR="00706A62" w:rsidRPr="00706A62">
        <w:rPr>
          <w:rFonts w:ascii="Times New Roman" w:eastAsia="宋体" w:hAnsi="Times New Roman" w:cs="Times New Roman"/>
          <w:szCs w:val="21"/>
        </w:rPr>
        <w:t>period</w:t>
      </w:r>
      <w:r w:rsidRPr="00FC3758">
        <w:rPr>
          <w:rFonts w:ascii="Times New Roman" w:eastAsia="宋体" w:hAnsi="Times New Roman" w:cs="Times New Roman"/>
          <w:szCs w:val="21"/>
        </w:rPr>
        <w:t xml:space="preserve">. </w:t>
      </w:r>
    </w:p>
    <w:p w14:paraId="45BC7EE0" w14:textId="06E4B850" w:rsidR="00950088" w:rsidRDefault="00000000" w:rsidP="002B65A7">
      <w:pPr>
        <w:suppressAutoHyphens/>
        <w:spacing w:line="360" w:lineRule="auto"/>
        <w:ind w:firstLine="420"/>
        <w:rPr>
          <w:rFonts w:ascii="Times New Roman" w:hAnsi="Times New Roman" w:cs="Times New Roman"/>
          <w:kern w:val="0"/>
          <w:szCs w:val="21"/>
        </w:rPr>
      </w:pPr>
      <w:r>
        <w:rPr>
          <w:rFonts w:ascii="Times New Roman" w:hAnsi="Times New Roman" w:cs="Times New Roman"/>
          <w:szCs w:val="21"/>
        </w:rPr>
        <w:t>A</w:t>
      </w:r>
      <w:r>
        <w:rPr>
          <w:rFonts w:ascii="Times New Roman" w:eastAsia="宋体" w:hAnsi="Times New Roman" w:cs="Times New Roman"/>
          <w:szCs w:val="21"/>
        </w:rPr>
        <w:t>n acute</w:t>
      </w:r>
      <w:r>
        <w:rPr>
          <w:rFonts w:ascii="Times New Roman" w:hAnsi="Times New Roman" w:cs="Times New Roman"/>
          <w:szCs w:val="21"/>
        </w:rPr>
        <w:t xml:space="preserve">-exposure experiment was conducted to determine the semi-lethal dose of BF. </w:t>
      </w:r>
      <w:r>
        <w:rPr>
          <w:rFonts w:ascii="Times New Roman" w:eastAsia="宋体" w:hAnsi="Times New Roman" w:cs="Times New Roman"/>
          <w:szCs w:val="21"/>
        </w:rPr>
        <w:t>CGS larvae</w:t>
      </w:r>
      <w:r>
        <w:rPr>
          <w:rFonts w:ascii="Times New Roman" w:hAnsi="Times New Roman" w:cs="Times New Roman"/>
          <w:szCs w:val="21"/>
        </w:rPr>
        <w:t xml:space="preserve"> </w:t>
      </w:r>
      <w:r>
        <w:rPr>
          <w:rFonts w:ascii="Times New Roman" w:eastAsia="宋体" w:hAnsi="Times New Roman" w:cs="Times New Roman"/>
          <w:szCs w:val="21"/>
        </w:rPr>
        <w:t>were randomly group</w:t>
      </w:r>
      <w:r>
        <w:rPr>
          <w:rFonts w:ascii="Times New Roman" w:eastAsia="宋体" w:hAnsi="Times New Roman" w:cs="Times New Roman" w:hint="eastAsia"/>
          <w:szCs w:val="21"/>
        </w:rPr>
        <w:t>ed</w:t>
      </w:r>
      <w:r>
        <w:rPr>
          <w:rFonts w:ascii="Times New Roman" w:eastAsia="宋体" w:hAnsi="Times New Roman" w:cs="Times New Roman"/>
          <w:szCs w:val="21"/>
        </w:rPr>
        <w:t xml:space="preserve"> and placed in 1 L aquarium and exposed to either control or BF for 1 week. Each group consisted of </w:t>
      </w:r>
      <w:r w:rsidR="006A0652">
        <w:rPr>
          <w:rFonts w:ascii="Times New Roman" w:eastAsia="宋体" w:hAnsi="Times New Roman" w:cs="Times New Roman"/>
          <w:szCs w:val="21"/>
        </w:rPr>
        <w:t xml:space="preserve">4 </w:t>
      </w:r>
      <w:r>
        <w:rPr>
          <w:rFonts w:ascii="Times New Roman" w:eastAsia="宋体" w:hAnsi="Times New Roman" w:cs="Times New Roman"/>
          <w:szCs w:val="21"/>
        </w:rPr>
        <w:t xml:space="preserve">animals, and there were </w:t>
      </w:r>
      <w:r w:rsidR="006A0652">
        <w:rPr>
          <w:rFonts w:ascii="Times New Roman" w:eastAsia="宋体" w:hAnsi="Times New Roman" w:cs="Times New Roman"/>
          <w:szCs w:val="21"/>
        </w:rPr>
        <w:t xml:space="preserve">3 </w:t>
      </w:r>
      <w:r>
        <w:rPr>
          <w:rFonts w:ascii="Times New Roman" w:eastAsia="宋体" w:hAnsi="Times New Roman" w:cs="Times New Roman"/>
          <w:szCs w:val="21"/>
        </w:rPr>
        <w:t>groups per treatment.</w:t>
      </w:r>
      <w:r>
        <w:rPr>
          <w:rFonts w:ascii="Times New Roman" w:hAnsi="Times New Roman" w:cs="Times New Roman"/>
          <w:szCs w:val="21"/>
        </w:rPr>
        <w:t xml:space="preserve"> Nominal exposure concentrations of BF dissolved in DMSO were: 6.</w:t>
      </w:r>
      <w:r w:rsidR="00E51729">
        <w:rPr>
          <w:rFonts w:ascii="Times New Roman" w:hAnsi="Times New Roman" w:cs="Times New Roman"/>
          <w:szCs w:val="21"/>
        </w:rPr>
        <w:t>25</w:t>
      </w:r>
      <w:r>
        <w:rPr>
          <w:rFonts w:ascii="Times New Roman" w:hAnsi="Times New Roman" w:cs="Times New Roman"/>
          <w:szCs w:val="21"/>
        </w:rPr>
        <w:t xml:space="preserve">, 12.5, </w:t>
      </w:r>
      <w:r w:rsidR="00E51729">
        <w:rPr>
          <w:rFonts w:ascii="Times New Roman" w:hAnsi="Times New Roman" w:cs="Times New Roman"/>
          <w:szCs w:val="21"/>
        </w:rPr>
        <w:t xml:space="preserve">25, </w:t>
      </w:r>
      <w:r>
        <w:rPr>
          <w:rFonts w:ascii="Times New Roman" w:hAnsi="Times New Roman" w:cs="Times New Roman"/>
          <w:szCs w:val="21"/>
        </w:rPr>
        <w:t xml:space="preserve">and </w:t>
      </w:r>
      <w:r w:rsidR="00E51729">
        <w:rPr>
          <w:rFonts w:ascii="Times New Roman" w:hAnsi="Times New Roman" w:cs="Times New Roman"/>
          <w:szCs w:val="21"/>
        </w:rPr>
        <w:t xml:space="preserve">50 </w:t>
      </w:r>
      <w:proofErr w:type="spellStart"/>
      <w:r>
        <w:rPr>
          <w:rFonts w:ascii="Times New Roman" w:hAnsi="Times New Roman" w:cs="Times New Roman"/>
          <w:szCs w:val="21"/>
        </w:rPr>
        <w:t>μg</w:t>
      </w:r>
      <w:proofErr w:type="spellEnd"/>
      <w:r>
        <w:rPr>
          <w:rFonts w:ascii="Times New Roman" w:hAnsi="Times New Roman" w:cs="Times New Roman"/>
          <w:szCs w:val="21"/>
        </w:rPr>
        <w:t xml:space="preserve">/L, with a maximum solvent concentration of 0.001% (v/v). The experiment was conducted at 16.5 ± 0.5℃ under a 10 h light: 14 h dark photoperiod; 50% of the water was changed in each treatment every 12 h. CGS were observed for poisoning symptoms </w:t>
      </w:r>
      <w:r>
        <w:rPr>
          <w:rFonts w:ascii="Times New Roman" w:hAnsi="Times New Roman" w:cs="Times New Roman" w:hint="eastAsia"/>
          <w:szCs w:val="21"/>
        </w:rPr>
        <w:t>after 24, 48, 72 and 96 hours of treatment</w:t>
      </w:r>
      <w:r>
        <w:rPr>
          <w:rFonts w:ascii="Times New Roman" w:hAnsi="Times New Roman" w:cs="Times New Roman"/>
          <w:szCs w:val="21"/>
        </w:rPr>
        <w:t xml:space="preserve"> and any dead CGS were </w:t>
      </w:r>
      <w:r>
        <w:rPr>
          <w:rFonts w:ascii="Times New Roman" w:hAnsi="Times New Roman" w:cs="Times New Roman" w:hint="eastAsia"/>
          <w:szCs w:val="21"/>
        </w:rPr>
        <w:t>taken</w:t>
      </w:r>
      <w:r>
        <w:rPr>
          <w:rFonts w:ascii="Times New Roman" w:hAnsi="Times New Roman" w:cs="Times New Roman"/>
          <w:szCs w:val="21"/>
        </w:rPr>
        <w:t xml:space="preserve"> </w:t>
      </w:r>
      <w:r>
        <w:rPr>
          <w:rFonts w:ascii="Times New Roman" w:hAnsi="Times New Roman" w:cs="Times New Roman" w:hint="eastAsia"/>
          <w:szCs w:val="21"/>
        </w:rPr>
        <w:t>out of</w:t>
      </w:r>
      <w:r>
        <w:rPr>
          <w:rFonts w:ascii="Times New Roman" w:hAnsi="Times New Roman" w:cs="Times New Roman"/>
          <w:szCs w:val="21"/>
        </w:rPr>
        <w:t xml:space="preserve"> experimental tank at those times. </w:t>
      </w:r>
      <w:r w:rsidR="002B65A7">
        <w:rPr>
          <w:rFonts w:ascii="Times New Roman" w:hAnsi="Times New Roman" w:cs="Times New Roman" w:hint="eastAsia"/>
          <w:szCs w:val="21"/>
        </w:rPr>
        <w:t xml:space="preserve">Concerning the Acute Toxicity Classification Standard (GB/T 31270.12,2014) and </w:t>
      </w:r>
      <w:r w:rsidR="0023542C">
        <w:rPr>
          <w:rFonts w:ascii="Times New Roman" w:hAnsi="Times New Roman" w:cs="Times New Roman"/>
          <w:szCs w:val="21"/>
        </w:rPr>
        <w:t>c</w:t>
      </w:r>
      <w:r w:rsidR="002B65A7">
        <w:rPr>
          <w:rFonts w:ascii="Times New Roman" w:hAnsi="Times New Roman" w:cs="Times New Roman" w:hint="eastAsia"/>
          <w:szCs w:val="21"/>
        </w:rPr>
        <w:t>lassification test method for acute toxicity of dangerous chemicals to fish (GB/T 21281</w:t>
      </w:r>
      <w:r w:rsidR="002B65A7">
        <w:rPr>
          <w:rFonts w:ascii="Times New Roman" w:hAnsi="Times New Roman" w:cs="Times New Roman" w:hint="eastAsia"/>
          <w:szCs w:val="21"/>
        </w:rPr>
        <w:t>–</w:t>
      </w:r>
      <w:r w:rsidR="002B65A7">
        <w:rPr>
          <w:rFonts w:ascii="Times New Roman" w:hAnsi="Times New Roman" w:cs="Times New Roman" w:hint="eastAsia"/>
          <w:szCs w:val="21"/>
        </w:rPr>
        <w:t>2007)</w:t>
      </w:r>
      <w:r w:rsidR="002B65A7">
        <w:rPr>
          <w:rFonts w:ascii="Times New Roman" w:hAnsi="Times New Roman" w:cs="Times New Roman"/>
          <w:szCs w:val="21"/>
        </w:rPr>
        <w:t xml:space="preserve">, the following acute toxicity grades were </w:t>
      </w:r>
      <w:r w:rsidR="002B65A7">
        <w:rPr>
          <w:rFonts w:ascii="Times New Roman" w:hAnsi="Times New Roman" w:cs="Times New Roman"/>
          <w:szCs w:val="21"/>
        </w:rPr>
        <w:lastRenderedPageBreak/>
        <w:t>established:</w:t>
      </w:r>
      <w:r w:rsidR="002B65A7">
        <w:rPr>
          <w:rFonts w:ascii="Times New Roman" w:hAnsi="Times New Roman" w:cs="Times New Roman" w:hint="eastAsia"/>
          <w:szCs w:val="21"/>
        </w:rPr>
        <w:t xml:space="preserve"> acute toxicity grade I was obtained when 96 h LC50 </w:t>
      </w:r>
      <w:r w:rsidR="002B65A7">
        <w:rPr>
          <w:rFonts w:ascii="Times New Roman" w:hAnsi="Times New Roman" w:cs="Times New Roman"/>
          <w:szCs w:val="21"/>
        </w:rPr>
        <w:t xml:space="preserve">≤ </w:t>
      </w:r>
      <w:r w:rsidR="002B65A7">
        <w:rPr>
          <w:rFonts w:ascii="Times New Roman" w:hAnsi="Times New Roman" w:cs="Times New Roman" w:hint="eastAsia"/>
          <w:szCs w:val="21"/>
        </w:rPr>
        <w:t xml:space="preserve">1 mg /L, acute toxicity grade II was obtained when 1 mg/L &lt; 96 h </w:t>
      </w:r>
      <w:r w:rsidR="002B65A7">
        <w:rPr>
          <w:rFonts w:ascii="Times New Roman" w:hAnsi="Times New Roman" w:cs="Times New Roman"/>
          <w:szCs w:val="21"/>
        </w:rPr>
        <w:t>LC50 ≤ 10 mg/L, and acute toxicity grade III was obtained when 10 mg/L &lt; 96 h LC50 ≤ 100 mg/L.</w:t>
      </w:r>
    </w:p>
    <w:p w14:paraId="1579AA61" w14:textId="0F7F8C96" w:rsidR="00950088" w:rsidRDefault="00000000">
      <w:pPr>
        <w:suppressAutoHyphens/>
        <w:spacing w:line="360" w:lineRule="auto"/>
        <w:ind w:firstLine="420"/>
        <w:rPr>
          <w:rFonts w:ascii="Times New Roman" w:hAnsi="Times New Roman" w:cs="Times New Roman"/>
          <w:kern w:val="0"/>
          <w:szCs w:val="21"/>
        </w:rPr>
      </w:pPr>
      <w:r>
        <w:rPr>
          <w:rFonts w:ascii="Times New Roman" w:hAnsi="Times New Roman" w:cs="Times New Roman"/>
          <w:kern w:val="0"/>
          <w:szCs w:val="21"/>
        </w:rPr>
        <w:t>Based on the determined semi-death dose, another 1-week experiment was conducted to observe the acute toxic effects of BF on CGS larvae. The experiment</w:t>
      </w:r>
      <w:r>
        <w:rPr>
          <w:rFonts w:ascii="Times New Roman" w:eastAsia="宋体" w:hAnsi="Times New Roman" w:cs="Times New Roman"/>
          <w:kern w:val="0"/>
          <w:szCs w:val="21"/>
        </w:rPr>
        <w:t xml:space="preserve">al design was the same as that described </w:t>
      </w:r>
      <w:r>
        <w:rPr>
          <w:rFonts w:ascii="Times New Roman" w:hAnsi="Times New Roman" w:cs="Times New Roman"/>
          <w:kern w:val="0"/>
          <w:szCs w:val="21"/>
        </w:rPr>
        <w:t xml:space="preserve">for </w:t>
      </w:r>
      <w:r>
        <w:rPr>
          <w:rFonts w:ascii="Times New Roman" w:eastAsia="宋体" w:hAnsi="Times New Roman" w:cs="Times New Roman"/>
          <w:kern w:val="0"/>
          <w:szCs w:val="21"/>
        </w:rPr>
        <w:t>the acute exposure experiment</w:t>
      </w:r>
      <w:r>
        <w:rPr>
          <w:rFonts w:ascii="Times New Roman" w:hAnsi="Times New Roman" w:cs="Times New Roman"/>
          <w:kern w:val="0"/>
          <w:szCs w:val="21"/>
        </w:rPr>
        <w:t xml:space="preserve"> except that CGSs were exposed to either </w:t>
      </w:r>
      <w:r>
        <w:rPr>
          <w:rFonts w:ascii="Times New Roman" w:eastAsia="宋体" w:hAnsi="Times New Roman" w:cs="Times New Roman"/>
          <w:kern w:val="0"/>
          <w:szCs w:val="21"/>
        </w:rPr>
        <w:t xml:space="preserve">the control or BF for 1 week, with </w:t>
      </w:r>
      <w:r>
        <w:rPr>
          <w:rFonts w:ascii="Times New Roman" w:hAnsi="Times New Roman" w:cs="Times New Roman"/>
          <w:kern w:val="0"/>
          <w:szCs w:val="21"/>
        </w:rPr>
        <w:t xml:space="preserve">nominal exposure concentrations of 0.04 and 4 </w:t>
      </w:r>
      <w:proofErr w:type="spellStart"/>
      <w:r>
        <w:rPr>
          <w:rFonts w:ascii="Times New Roman" w:hAnsi="Times New Roman" w:cs="Times New Roman"/>
          <w:kern w:val="0"/>
          <w:szCs w:val="21"/>
        </w:rPr>
        <w:t>μg</w:t>
      </w:r>
      <w:proofErr w:type="spellEnd"/>
      <w:r>
        <w:rPr>
          <w:rFonts w:ascii="Times New Roman" w:hAnsi="Times New Roman" w:cs="Times New Roman"/>
          <w:kern w:val="0"/>
          <w:szCs w:val="21"/>
        </w:rPr>
        <w:t>/L of BF in DMSO.</w:t>
      </w:r>
      <w:r w:rsidR="002B65A7" w:rsidRPr="002B65A7">
        <w:rPr>
          <w:rFonts w:ascii="Times New Roman" w:hAnsi="Times New Roman" w:cs="Times New Roman"/>
          <w:szCs w:val="21"/>
        </w:rPr>
        <w:t xml:space="preserve"> </w:t>
      </w:r>
      <w:r w:rsidR="002B65A7">
        <w:rPr>
          <w:rFonts w:ascii="Times New Roman" w:hAnsi="Times New Roman" w:cs="Times New Roman"/>
          <w:szCs w:val="21"/>
        </w:rPr>
        <w:t>At the end of the experiment, all CGS</w:t>
      </w:r>
      <w:r w:rsidR="002B65A7">
        <w:rPr>
          <w:rFonts w:ascii="Times New Roman" w:eastAsia="宋体" w:hAnsi="Times New Roman" w:cs="Times New Roman"/>
          <w:szCs w:val="21"/>
        </w:rPr>
        <w:t xml:space="preserve"> larvae</w:t>
      </w:r>
      <w:r w:rsidR="002B65A7">
        <w:rPr>
          <w:rFonts w:ascii="Times New Roman" w:hAnsi="Times New Roman" w:cs="Times New Roman"/>
          <w:szCs w:val="21"/>
        </w:rPr>
        <w:t xml:space="preserve"> were euthanized using an</w:t>
      </w:r>
      <w:r w:rsidR="002B65A7">
        <w:rPr>
          <w:rFonts w:ascii="Times New Roman" w:hAnsi="Times New Roman" w:cs="Times New Roman" w:hint="eastAsia"/>
          <w:szCs w:val="21"/>
        </w:rPr>
        <w:t xml:space="preserve"> </w:t>
      </w:r>
      <w:r w:rsidR="002B65A7">
        <w:rPr>
          <w:rFonts w:ascii="Times New Roman" w:hAnsi="Times New Roman" w:cs="Times New Roman"/>
          <w:szCs w:val="21"/>
        </w:rPr>
        <w:t>overdose of 2-phenoxyethanol, followed by cervical transection. The gonad</w:t>
      </w:r>
      <w:r w:rsidR="002B65A7">
        <w:rPr>
          <w:rFonts w:ascii="Times New Roman" w:eastAsia="宋体" w:hAnsi="Times New Roman" w:cs="Times New Roman"/>
          <w:szCs w:val="21"/>
        </w:rPr>
        <w:t xml:space="preserve">s </w:t>
      </w:r>
      <w:r w:rsidR="002B65A7">
        <w:rPr>
          <w:rFonts w:ascii="Times New Roman" w:hAnsi="Times New Roman" w:cs="Times New Roman"/>
          <w:szCs w:val="21"/>
        </w:rPr>
        <w:t>were removed, weighed</w:t>
      </w:r>
      <w:r w:rsidR="002B65A7">
        <w:rPr>
          <w:rFonts w:ascii="Times New Roman" w:hAnsi="Times New Roman" w:cs="Times New Roman" w:hint="eastAsia"/>
          <w:szCs w:val="21"/>
        </w:rPr>
        <w:t xml:space="preserve">, and </w:t>
      </w:r>
      <w:r w:rsidR="002B65A7">
        <w:rPr>
          <w:rFonts w:ascii="Times New Roman" w:hAnsi="Times New Roman" w:cs="Times New Roman"/>
          <w:szCs w:val="21"/>
        </w:rPr>
        <w:t xml:space="preserve">fixed in </w:t>
      </w:r>
      <w:proofErr w:type="spellStart"/>
      <w:r w:rsidR="002B65A7">
        <w:rPr>
          <w:rFonts w:ascii="Times New Roman" w:hAnsi="Times New Roman" w:cs="Times New Roman"/>
          <w:szCs w:val="21"/>
        </w:rPr>
        <w:t>Bouin’s</w:t>
      </w:r>
      <w:proofErr w:type="spellEnd"/>
      <w:r w:rsidR="002B65A7">
        <w:rPr>
          <w:rFonts w:ascii="Times New Roman" w:hAnsi="Times New Roman" w:cs="Times New Roman" w:hint="eastAsia"/>
          <w:szCs w:val="21"/>
        </w:rPr>
        <w:t xml:space="preserve"> fixative</w:t>
      </w:r>
      <w:r w:rsidR="002B65A7">
        <w:rPr>
          <w:rFonts w:ascii="Times New Roman" w:hAnsi="Times New Roman" w:cs="Times New Roman"/>
          <w:szCs w:val="21"/>
        </w:rPr>
        <w:t xml:space="preserve"> solution</w:t>
      </w:r>
      <w:r w:rsidR="002B65A7">
        <w:rPr>
          <w:rFonts w:ascii="Times New Roman" w:hAnsi="Times New Roman" w:cs="Times New Roman" w:hint="eastAsia"/>
          <w:szCs w:val="21"/>
        </w:rPr>
        <w:t xml:space="preserve"> </w:t>
      </w:r>
      <w:r w:rsidR="002B65A7">
        <w:rPr>
          <w:rFonts w:ascii="Times New Roman" w:eastAsia="宋体" w:hAnsi="Times New Roman" w:cs="Times New Roman"/>
          <w:szCs w:val="21"/>
        </w:rPr>
        <w:t>(</w:t>
      </w:r>
      <w:proofErr w:type="spellStart"/>
      <w:r w:rsidR="002B65A7">
        <w:rPr>
          <w:rFonts w:ascii="Times New Roman" w:eastAsia="宋体" w:hAnsi="Times New Roman" w:cs="Times New Roman" w:hint="eastAsia"/>
          <w:szCs w:val="21"/>
        </w:rPr>
        <w:t>Phygene</w:t>
      </w:r>
      <w:proofErr w:type="spellEnd"/>
      <w:r w:rsidR="002B65A7">
        <w:rPr>
          <w:rFonts w:ascii="Times New Roman" w:eastAsia="宋体" w:hAnsi="Times New Roman" w:cs="Times New Roman" w:hint="eastAsia"/>
          <w:szCs w:val="21"/>
        </w:rPr>
        <w:t xml:space="preserve"> Biotechnology Co., Ltd, Fuzhou, CN</w:t>
      </w:r>
      <w:r w:rsidR="002B65A7">
        <w:rPr>
          <w:rFonts w:ascii="Times New Roman" w:eastAsia="宋体" w:hAnsi="Times New Roman" w:cs="Times New Roman"/>
          <w:szCs w:val="21"/>
        </w:rPr>
        <w:t>)</w:t>
      </w:r>
      <w:r w:rsidR="002B65A7">
        <w:rPr>
          <w:rStyle w:val="ae"/>
          <w:rFonts w:hint="eastAsia"/>
        </w:rPr>
        <w:t xml:space="preserve"> </w:t>
      </w:r>
      <w:r w:rsidR="002B65A7">
        <w:rPr>
          <w:rFonts w:ascii="Times New Roman" w:hAnsi="Times New Roman" w:cs="Times New Roman" w:hint="eastAsia"/>
          <w:szCs w:val="21"/>
        </w:rPr>
        <w:t>for</w:t>
      </w:r>
      <w:r w:rsidR="002B65A7">
        <w:rPr>
          <w:rFonts w:ascii="Times New Roman" w:hAnsi="Times New Roman" w:cs="Times New Roman"/>
          <w:szCs w:val="21"/>
        </w:rPr>
        <w:t xml:space="preserve"> 24 h</w:t>
      </w:r>
      <w:r w:rsidR="002B65A7">
        <w:rPr>
          <w:rFonts w:ascii="Times New Roman" w:hAnsi="Times New Roman" w:cs="Times New Roman" w:hint="eastAsia"/>
          <w:szCs w:val="21"/>
        </w:rPr>
        <w:t>. These samples will be stored in 70 % ethanol until histological observation.</w:t>
      </w:r>
      <w:r w:rsidR="002B65A7">
        <w:rPr>
          <w:rFonts w:ascii="Times New Roman" w:eastAsia="宋体" w:hAnsi="Times New Roman" w:cs="Times New Roman"/>
          <w:szCs w:val="21"/>
        </w:rPr>
        <w:t xml:space="preserve"> </w:t>
      </w:r>
      <w:r w:rsidR="002B65A7">
        <w:rPr>
          <w:rFonts w:ascii="Times New Roman" w:eastAsia="宋体" w:hAnsi="Times New Roman" w:cs="Times New Roman" w:hint="eastAsia"/>
          <w:szCs w:val="21"/>
        </w:rPr>
        <w:t xml:space="preserve">The brain, liver, and kidneys were stored at </w:t>
      </w:r>
      <w:r w:rsidR="00806006">
        <w:rPr>
          <w:rFonts w:ascii="微软雅黑" w:eastAsia="微软雅黑" w:hAnsi="微软雅黑" w:cs="微软雅黑" w:hint="eastAsia"/>
          <w:szCs w:val="21"/>
        </w:rPr>
        <w:t>-</w:t>
      </w:r>
      <w:r w:rsidR="002B65A7">
        <w:rPr>
          <w:rFonts w:ascii="Times New Roman" w:eastAsia="宋体" w:hAnsi="Times New Roman" w:cs="Times New Roman" w:hint="eastAsia"/>
          <w:szCs w:val="21"/>
        </w:rPr>
        <w:t>80</w:t>
      </w:r>
      <w:r w:rsidR="002B65A7">
        <w:rPr>
          <w:rFonts w:ascii="Times New Roman" w:hAnsi="Times New Roman" w:cs="Times New Roman"/>
          <w:szCs w:val="21"/>
        </w:rPr>
        <w:t>℃</w:t>
      </w:r>
      <w:r w:rsidR="002B65A7">
        <w:rPr>
          <w:rFonts w:ascii="Times New Roman" w:eastAsia="宋体" w:hAnsi="Times New Roman" w:cs="Times New Roman" w:hint="eastAsia"/>
          <w:szCs w:val="21"/>
        </w:rPr>
        <w:t xml:space="preserve"> for subsequent study.</w:t>
      </w:r>
    </w:p>
    <w:p w14:paraId="6C6CDB08" w14:textId="1B8F4814"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szCs w:val="21"/>
        </w:rPr>
        <w:t>Physiological and biochemical indicator detection</w:t>
      </w:r>
    </w:p>
    <w:p w14:paraId="271BB6F2" w14:textId="7C94F951" w:rsidR="00950088" w:rsidRDefault="00000000" w:rsidP="00FC3758">
      <w:pPr>
        <w:suppressAutoHyphens/>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Liver, brain, and kidney tissues were homogenized and centrifuged (3500 rpm, 15 min, 4</w:t>
      </w:r>
      <w:r w:rsidR="00806006">
        <w:rPr>
          <w:rFonts w:ascii="Times New Roman" w:hAnsi="Times New Roman" w:cs="Times New Roman"/>
          <w:szCs w:val="21"/>
        </w:rPr>
        <w:t>℃</w:t>
      </w:r>
      <w:r>
        <w:rPr>
          <w:rFonts w:ascii="Times New Roman" w:hAnsi="Times New Roman" w:cs="Times New Roman" w:hint="eastAsia"/>
          <w:szCs w:val="21"/>
        </w:rPr>
        <w:t>). The supernatant was retained for analysis</w:t>
      </w:r>
      <w:r>
        <w:rPr>
          <w:rFonts w:ascii="Times New Roman" w:hAnsi="Times New Roman" w:cs="Times New Roman"/>
          <w:szCs w:val="21"/>
        </w:rPr>
        <w:t>. Total protein, ROS, GSH, MDA, SOD</w:t>
      </w:r>
      <w:r>
        <w:rPr>
          <w:rFonts w:ascii="Times New Roman" w:eastAsia="宋体" w:hAnsi="Times New Roman" w:cs="Times New Roman"/>
          <w:szCs w:val="21"/>
        </w:rPr>
        <w:t xml:space="preserve">, and ATPase activity </w:t>
      </w:r>
      <w:r>
        <w:rPr>
          <w:rFonts w:ascii="Times New Roman" w:hAnsi="Times New Roman" w:cs="Times New Roman"/>
          <w:szCs w:val="21"/>
        </w:rPr>
        <w:t>were measured using commercial colorimetric kits. 8-OHdG content was measured using a corresponding fish-specific ELISA kit.</w:t>
      </w:r>
      <w:r w:rsidR="002003AD" w:rsidRPr="002003AD">
        <w:rPr>
          <w:rFonts w:ascii="Times New Roman" w:eastAsia="宋体" w:hAnsi="Times New Roman" w:cs="Times New Roman"/>
          <w:szCs w:val="21"/>
        </w:rPr>
        <w:t xml:space="preserve"> </w:t>
      </w:r>
      <w:r w:rsidR="002003AD" w:rsidRPr="0020188A">
        <w:rPr>
          <w:rFonts w:ascii="Times New Roman" w:eastAsia="宋体" w:hAnsi="Times New Roman" w:cs="Times New Roman"/>
          <w:szCs w:val="21"/>
        </w:rPr>
        <w:t xml:space="preserve">The above kits were obtained from the Nanjing </w:t>
      </w:r>
      <w:proofErr w:type="spellStart"/>
      <w:r w:rsidR="002003AD" w:rsidRPr="0020188A">
        <w:rPr>
          <w:rFonts w:ascii="Times New Roman" w:eastAsia="宋体" w:hAnsi="Times New Roman" w:cs="Times New Roman"/>
          <w:szCs w:val="21"/>
        </w:rPr>
        <w:t>Jiancheng</w:t>
      </w:r>
      <w:proofErr w:type="spellEnd"/>
      <w:r w:rsidR="002003AD" w:rsidRPr="0020188A">
        <w:rPr>
          <w:rFonts w:ascii="Times New Roman" w:eastAsia="宋体" w:hAnsi="Times New Roman" w:cs="Times New Roman"/>
          <w:szCs w:val="21"/>
        </w:rPr>
        <w:t xml:space="preserve"> Institute of Bioengineering (Nanjing, China).</w:t>
      </w:r>
      <w:r>
        <w:rPr>
          <w:rFonts w:ascii="Times New Roman" w:hAnsi="Times New Roman" w:cs="Times New Roman" w:hint="eastAsia"/>
          <w:szCs w:val="21"/>
        </w:rPr>
        <w:t xml:space="preserve"> All indicators were measured with a Spark 10M microplate reader (Tecan Trading AG, </w:t>
      </w:r>
      <w:proofErr w:type="spellStart"/>
      <w:r>
        <w:rPr>
          <w:rFonts w:ascii="Times New Roman" w:hAnsi="Times New Roman" w:cs="Times New Roman" w:hint="eastAsia"/>
          <w:szCs w:val="21"/>
        </w:rPr>
        <w:t>Mannedorf</w:t>
      </w:r>
      <w:proofErr w:type="spellEnd"/>
      <w:r>
        <w:rPr>
          <w:rFonts w:ascii="Times New Roman" w:hAnsi="Times New Roman" w:cs="Times New Roman" w:hint="eastAsia"/>
          <w:szCs w:val="21"/>
        </w:rPr>
        <w:t>, Switzerland) in accordance with the manufacturer's instructions.</w:t>
      </w:r>
    </w:p>
    <w:p w14:paraId="07940BDF" w14:textId="7C53319F"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szCs w:val="21"/>
        </w:rPr>
        <w:t>Histological</w:t>
      </w:r>
      <w:r w:rsidR="00851F8D">
        <w:rPr>
          <w:rFonts w:ascii="Times New Roman" w:hAnsi="Times New Roman" w:cs="Times New Roman"/>
          <w:szCs w:val="21"/>
        </w:rPr>
        <w:t xml:space="preserve"> </w:t>
      </w:r>
      <w:r w:rsidR="00851F8D">
        <w:rPr>
          <w:rFonts w:ascii="AdvOTce3d9a73" w:hAnsi="AdvOTce3d9a73"/>
          <w:color w:val="000000"/>
          <w:sz w:val="20"/>
          <w:szCs w:val="20"/>
        </w:rPr>
        <w:t>Evaluation</w:t>
      </w:r>
    </w:p>
    <w:p w14:paraId="559811B9" w14:textId="7A2DA13E" w:rsidR="00950088" w:rsidRPr="00761CA0" w:rsidRDefault="00000000" w:rsidP="00761CA0">
      <w:pPr>
        <w:spacing w:line="360" w:lineRule="auto"/>
        <w:ind w:firstLineChars="200" w:firstLine="420"/>
        <w:rPr>
          <w:rFonts w:ascii="Times New Roman" w:eastAsia="宋体" w:hAnsi="Times New Roman" w:cs="Times New Roman"/>
          <w:szCs w:val="21"/>
        </w:rPr>
      </w:pPr>
      <w:r>
        <w:rPr>
          <w:rFonts w:ascii="Times New Roman" w:hAnsi="Times New Roman" w:cs="Times New Roman" w:hint="eastAsia"/>
          <w:szCs w:val="21"/>
        </w:rPr>
        <w:t xml:space="preserve">Paraffin-embedded fixed </w:t>
      </w:r>
      <w:r w:rsidR="00DE62AB">
        <w:rPr>
          <w:rFonts w:ascii="Times New Roman" w:hAnsi="Times New Roman" w:cs="Times New Roman"/>
          <w:szCs w:val="21"/>
        </w:rPr>
        <w:t xml:space="preserve">liver </w:t>
      </w:r>
      <w:proofErr w:type="spellStart"/>
      <w:r w:rsidR="00DE62AB">
        <w:rPr>
          <w:rFonts w:ascii="Times New Roman" w:hAnsi="Times New Roman" w:cs="Times New Roman"/>
          <w:szCs w:val="21"/>
        </w:rPr>
        <w:t>tiusse</w:t>
      </w:r>
      <w:proofErr w:type="spellEnd"/>
      <w:r w:rsidR="00761CA0">
        <w:rPr>
          <w:rFonts w:ascii="Times New Roman" w:eastAsia="宋体" w:hAnsi="Times New Roman" w:cs="Times New Roman"/>
          <w:szCs w:val="21"/>
        </w:rPr>
        <w:t xml:space="preserve"> were </w:t>
      </w:r>
      <w:r>
        <w:rPr>
          <w:rFonts w:ascii="Times New Roman" w:eastAsia="宋体" w:hAnsi="Times New Roman" w:cs="Times New Roman"/>
          <w:szCs w:val="21"/>
        </w:rPr>
        <w:t>sectioned into 5</w:t>
      </w:r>
      <w:r w:rsidR="00761CA0">
        <w:rPr>
          <w:rFonts w:ascii="Times New Roman" w:eastAsia="宋体" w:hAnsi="Times New Roman" w:cs="Times New Roman"/>
          <w:szCs w:val="21"/>
        </w:rPr>
        <w:t xml:space="preserve"> </w:t>
      </w:r>
      <w:proofErr w:type="spellStart"/>
      <w:r>
        <w:rPr>
          <w:rFonts w:ascii="Times New Roman" w:eastAsia="宋体" w:hAnsi="Times New Roman" w:cs="Times New Roman"/>
          <w:szCs w:val="21"/>
        </w:rPr>
        <w:t>μm</w:t>
      </w:r>
      <w:proofErr w:type="spellEnd"/>
      <w:r>
        <w:rPr>
          <w:rFonts w:ascii="Times New Roman" w:eastAsia="宋体" w:hAnsi="Times New Roman" w:cs="Times New Roman"/>
          <w:szCs w:val="21"/>
        </w:rPr>
        <w:t xml:space="preserve"> slices</w:t>
      </w:r>
      <w:r w:rsidR="00761CA0">
        <w:rPr>
          <w:rFonts w:ascii="Times New Roman" w:eastAsia="宋体" w:hAnsi="Times New Roman" w:cs="Times New Roman"/>
          <w:szCs w:val="21"/>
        </w:rPr>
        <w:t xml:space="preserve"> </w:t>
      </w:r>
      <w:r>
        <w:rPr>
          <w:rFonts w:ascii="Times New Roman" w:eastAsia="宋体" w:hAnsi="Times New Roman" w:cs="Times New Roman"/>
          <w:szCs w:val="21"/>
        </w:rPr>
        <w:t>and</w:t>
      </w:r>
      <w:r w:rsidR="00761CA0" w:rsidRPr="00761CA0">
        <w:rPr>
          <w:rFonts w:ascii="Times New Roman" w:eastAsia="宋体" w:hAnsi="Times New Roman" w:cs="Times New Roman"/>
          <w:szCs w:val="21"/>
        </w:rPr>
        <w:t xml:space="preserve"> </w:t>
      </w:r>
      <w:r w:rsidR="00761CA0" w:rsidRPr="0020188A">
        <w:rPr>
          <w:rFonts w:ascii="Times New Roman" w:eastAsia="宋体" w:hAnsi="Times New Roman" w:cs="Times New Roman"/>
          <w:szCs w:val="21"/>
        </w:rPr>
        <w:t>stained with Mayer’s Hematoxylin and Eosin Y (H-E staining)</w:t>
      </w:r>
      <w:r>
        <w:rPr>
          <w:rFonts w:ascii="Times New Roman" w:eastAsia="宋体" w:hAnsi="Times New Roman" w:cs="Times New Roman"/>
          <w:szCs w:val="21"/>
        </w:rPr>
        <w:t>. Gonad</w:t>
      </w:r>
      <w:r>
        <w:rPr>
          <w:rFonts w:ascii="Times New Roman" w:eastAsia="宋体" w:hAnsi="Times New Roman" w:cs="Times New Roman" w:hint="eastAsia"/>
          <w:szCs w:val="21"/>
        </w:rPr>
        <w:t>s</w:t>
      </w:r>
      <w:r>
        <w:rPr>
          <w:rFonts w:ascii="Times New Roman" w:eastAsia="宋体" w:hAnsi="Times New Roman" w:cs="Times New Roman"/>
          <w:szCs w:val="21"/>
        </w:rPr>
        <w:t xml:space="preserve"> histological observation w</w:t>
      </w:r>
      <w:r>
        <w:rPr>
          <w:rFonts w:ascii="Times New Roman" w:eastAsia="宋体" w:hAnsi="Times New Roman" w:cs="Times New Roman" w:hint="eastAsia"/>
          <w:szCs w:val="21"/>
        </w:rPr>
        <w:t>ere</w:t>
      </w:r>
      <w:r>
        <w:rPr>
          <w:rFonts w:ascii="Times New Roman" w:eastAsia="宋体" w:hAnsi="Times New Roman" w:cs="Times New Roman"/>
          <w:szCs w:val="21"/>
        </w:rPr>
        <w:t xml:space="preserve"> conducted by a light microscop</w:t>
      </w:r>
      <w:r>
        <w:rPr>
          <w:rFonts w:ascii="Times New Roman" w:eastAsia="宋体" w:hAnsi="Times New Roman" w:cs="Times New Roman" w:hint="eastAsia"/>
          <w:szCs w:val="21"/>
        </w:rPr>
        <w:t>e (40X)</w:t>
      </w:r>
      <w:r w:rsidR="00761CA0" w:rsidRPr="0020188A">
        <w:rPr>
          <w:rFonts w:ascii="Times New Roman" w:eastAsia="宋体" w:hAnsi="Times New Roman" w:cs="Times New Roman"/>
          <w:szCs w:val="21"/>
        </w:rPr>
        <w:t xml:space="preserve"> and classified</w:t>
      </w:r>
      <w:r w:rsidR="004646F7">
        <w:rPr>
          <w:rFonts w:ascii="Times New Roman" w:eastAsia="宋体" w:hAnsi="Times New Roman" w:cs="Times New Roman"/>
          <w:szCs w:val="21"/>
        </w:rPr>
        <w:t xml:space="preserve"> </w:t>
      </w:r>
      <w:r w:rsidR="00CA0A24">
        <w:rPr>
          <w:rFonts w:ascii="Times New Roman" w:eastAsia="宋体" w:hAnsi="Times New Roman" w:cs="Times New Roman"/>
          <w:szCs w:val="21"/>
          <w:vertAlign w:val="superscript"/>
        </w:rPr>
        <w:fldChar w:fldCharType="begin" w:fldLock="1"/>
      </w:r>
      <w:r w:rsidR="00A3134A">
        <w:rPr>
          <w:rFonts w:ascii="Times New Roman" w:eastAsia="宋体" w:hAnsi="Times New Roman" w:cs="Times New Roman"/>
          <w:szCs w:val="21"/>
          <w:vertAlign w:val="superscript"/>
        </w:rPr>
        <w:instrText>ADDIN CSL_CITATION {"citationItems":[{"id":"ITEM-1","itemData":{"DOI":"10.1021/acs.est.9b01711","ISSN":"0013-936X","author":[{"dropping-particle":"","family":"Chen","given":"Lianguo","non-dropping-particle":"","parse-names":false,"suffix":""},{"dropping-particle":"","family":"Lam","given":"James C W","non-dropping-particle":"","parse-names":false,"suffix":""},{"dropping-particle":"","family":"Hu","given":"Chenyan","non-dropping-particle":"","parse-names":false,"suffix":""},{"dropping-particle":"","family":"Tsui","given":"Mirabelle M P","non-dropping-particle":"","parse-names":false,"suffix":""},{"dropping-particle":"","family":"Lam","given":"Paul K S","non-dropping-particle":"","parse-names":false,"suffix":""},{"dropping-particle":"","family":"Zhou","given":"Bingsheng","non-dropping-particle":"","parse-names":false,"suffix":""}],"container-title":"Environmental Science &amp; Technology","id":"ITEM-1","issue":"14","issued":{"date-parts":[["2019","7","16"]]},"note":"doi: 10.1021/acs.est.9b01711","page":"8389-8397","publisher":"American Chemical Society","title":"Perfluorobutanesulfonate Exposure Skews Sex Ratio in Fish and Transgenerationally Impairs Reproduction","type":"article-journal","volume":"53"},"uris":["http://www.mendeley.com/documents/?uuid=ebd95f7b-a945-4943-8d08-a782b6da90ff"]}],"mendeley":{"formattedCitation":"(Chen et al., 2019)","plainTextFormattedCitation":"(Chen et al., 2019)","previouslyFormattedCitation":"(Chen et al., 2019)"},"properties":{"noteIndex":0},"schema":"https://github.com/citation-style-language/schema/raw/master/csl-citation.json"}</w:instrText>
      </w:r>
      <w:r w:rsidR="00CA0A24">
        <w:rPr>
          <w:rFonts w:ascii="Times New Roman" w:eastAsia="宋体" w:hAnsi="Times New Roman" w:cs="Times New Roman"/>
          <w:szCs w:val="21"/>
          <w:vertAlign w:val="superscript"/>
        </w:rPr>
        <w:fldChar w:fldCharType="separate"/>
      </w:r>
      <w:r w:rsidR="00CA0A24" w:rsidRPr="00CA0A24">
        <w:rPr>
          <w:rFonts w:ascii="Times New Roman" w:eastAsia="宋体" w:hAnsi="Times New Roman" w:cs="Times New Roman"/>
          <w:noProof/>
          <w:szCs w:val="21"/>
        </w:rPr>
        <w:t>(Chen et al., 2019)</w:t>
      </w:r>
      <w:r w:rsidR="00CA0A24">
        <w:rPr>
          <w:rFonts w:ascii="Times New Roman" w:eastAsia="宋体" w:hAnsi="Times New Roman" w:cs="Times New Roman"/>
          <w:szCs w:val="21"/>
          <w:vertAlign w:val="superscript"/>
        </w:rPr>
        <w:fldChar w:fldCharType="end"/>
      </w:r>
      <w:r w:rsidR="001F6751">
        <w:rPr>
          <w:rFonts w:ascii="Times New Roman" w:eastAsia="宋体" w:hAnsi="Times New Roman" w:cs="Times New Roman" w:hint="eastAsia"/>
          <w:szCs w:val="21"/>
        </w:rPr>
        <w:t>.</w:t>
      </w:r>
      <w:r w:rsidR="00761CA0" w:rsidRPr="00761CA0">
        <w:rPr>
          <w:rFonts w:ascii="Times New Roman" w:eastAsia="宋体" w:hAnsi="Times New Roman" w:cs="Times New Roman"/>
          <w:szCs w:val="21"/>
        </w:rPr>
        <w:t xml:space="preserve"> </w:t>
      </w:r>
    </w:p>
    <w:p w14:paraId="4ADD97D1" w14:textId="7618AA52"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szCs w:val="21"/>
        </w:rPr>
        <w:t>RNA isolation and sequencing</w:t>
      </w:r>
    </w:p>
    <w:p w14:paraId="32160591" w14:textId="4E96B68B" w:rsidR="00950088" w:rsidRDefault="00FB4085" w:rsidP="00FC3758">
      <w:pPr>
        <w:pStyle w:val="Default"/>
        <w:suppressAutoHyphens/>
        <w:spacing w:line="360" w:lineRule="auto"/>
        <w:ind w:firstLineChars="100" w:firstLine="210"/>
        <w:jc w:val="both"/>
        <w:rPr>
          <w:color w:val="auto"/>
          <w:kern w:val="2"/>
          <w:sz w:val="21"/>
          <w:szCs w:val="21"/>
        </w:rPr>
      </w:pPr>
      <w:r>
        <w:rPr>
          <w:color w:val="auto"/>
          <w:kern w:val="2"/>
          <w:sz w:val="21"/>
          <w:szCs w:val="21"/>
        </w:rPr>
        <w:t>In present study, liver tissue was selected for</w:t>
      </w:r>
      <w:r w:rsidRPr="00FB4085">
        <w:t xml:space="preserve"> </w:t>
      </w:r>
      <w:r w:rsidRPr="00FB4085">
        <w:rPr>
          <w:color w:val="auto"/>
          <w:kern w:val="2"/>
          <w:sz w:val="21"/>
          <w:szCs w:val="21"/>
        </w:rPr>
        <w:t>RNA isolation and sequencing</w:t>
      </w:r>
      <w:r>
        <w:rPr>
          <w:color w:val="auto"/>
          <w:kern w:val="2"/>
          <w:sz w:val="21"/>
          <w:szCs w:val="21"/>
        </w:rPr>
        <w:t xml:space="preserve">. </w:t>
      </w:r>
      <w:proofErr w:type="spellStart"/>
      <w:r>
        <w:rPr>
          <w:rFonts w:hint="eastAsia"/>
          <w:color w:val="auto"/>
          <w:kern w:val="2"/>
          <w:sz w:val="21"/>
          <w:szCs w:val="21"/>
        </w:rPr>
        <w:t>TRIzol</w:t>
      </w:r>
      <w:r w:rsidRPr="00FC3758">
        <w:rPr>
          <w:color w:val="auto"/>
          <w:kern w:val="2"/>
          <w:sz w:val="21"/>
          <w:szCs w:val="21"/>
          <w:vertAlign w:val="superscript"/>
        </w:rPr>
        <w:t>TM</w:t>
      </w:r>
      <w:proofErr w:type="spellEnd"/>
      <w:r>
        <w:rPr>
          <w:rFonts w:hint="eastAsia"/>
          <w:color w:val="auto"/>
          <w:kern w:val="2"/>
          <w:sz w:val="21"/>
          <w:szCs w:val="21"/>
        </w:rPr>
        <w:t xml:space="preserve"> Reagent kit (Invitrogen, Carlsbad, California, USA) was used to extract total RNA.</w:t>
      </w:r>
      <w:r w:rsidR="00E718BE">
        <w:rPr>
          <w:color w:val="auto"/>
          <w:kern w:val="2"/>
          <w:sz w:val="21"/>
          <w:szCs w:val="21"/>
        </w:rPr>
        <w:t xml:space="preserve"> </w:t>
      </w:r>
      <w:r>
        <w:rPr>
          <w:rFonts w:hint="eastAsia"/>
          <w:color w:val="auto"/>
          <w:kern w:val="2"/>
          <w:sz w:val="21"/>
          <w:szCs w:val="21"/>
        </w:rPr>
        <w:t>The quality of RNA was evaluated on a</w:t>
      </w:r>
      <w:r w:rsidR="00CA0A24">
        <w:rPr>
          <w:color w:val="auto"/>
          <w:kern w:val="2"/>
          <w:sz w:val="21"/>
          <w:szCs w:val="21"/>
        </w:rPr>
        <w:t>n</w:t>
      </w:r>
      <w:r>
        <w:rPr>
          <w:rFonts w:hint="eastAsia"/>
          <w:color w:val="auto"/>
          <w:kern w:val="2"/>
          <w:sz w:val="21"/>
          <w:szCs w:val="21"/>
        </w:rPr>
        <w:t xml:space="preserve"> Agilent 2100 Bioanalyzer.</w:t>
      </w:r>
      <w:r>
        <w:rPr>
          <w:color w:val="auto"/>
          <w:kern w:val="2"/>
          <w:sz w:val="21"/>
          <w:szCs w:val="21"/>
        </w:rPr>
        <w:t xml:space="preserve"> (Agilent Technologies</w:t>
      </w:r>
      <w:r>
        <w:rPr>
          <w:rFonts w:hint="eastAsia"/>
          <w:color w:val="auto"/>
          <w:kern w:val="2"/>
          <w:sz w:val="21"/>
          <w:szCs w:val="21"/>
        </w:rPr>
        <w:t xml:space="preserve">, </w:t>
      </w:r>
      <w:proofErr w:type="spellStart"/>
      <w:r>
        <w:rPr>
          <w:rFonts w:hint="eastAsia"/>
          <w:color w:val="auto"/>
          <w:kern w:val="2"/>
          <w:sz w:val="21"/>
          <w:szCs w:val="21"/>
        </w:rPr>
        <w:t>lnc</w:t>
      </w:r>
      <w:proofErr w:type="spellEnd"/>
      <w:r>
        <w:rPr>
          <w:rFonts w:hint="eastAsia"/>
          <w:color w:val="auto"/>
          <w:kern w:val="2"/>
          <w:sz w:val="21"/>
          <w:szCs w:val="21"/>
        </w:rPr>
        <w:t>.</w:t>
      </w:r>
      <w:r>
        <w:rPr>
          <w:color w:val="auto"/>
          <w:kern w:val="2"/>
          <w:sz w:val="21"/>
          <w:szCs w:val="21"/>
        </w:rPr>
        <w:t>, Palo Alto, C</w:t>
      </w:r>
      <w:r>
        <w:rPr>
          <w:rFonts w:hint="eastAsia"/>
          <w:color w:val="auto"/>
          <w:kern w:val="2"/>
          <w:sz w:val="21"/>
          <w:szCs w:val="21"/>
        </w:rPr>
        <w:t>alifornia</w:t>
      </w:r>
      <w:r>
        <w:rPr>
          <w:color w:val="auto"/>
          <w:kern w:val="2"/>
          <w:sz w:val="21"/>
          <w:szCs w:val="21"/>
        </w:rPr>
        <w:t xml:space="preserve">, USA) and verified by </w:t>
      </w:r>
      <w:r>
        <w:rPr>
          <w:rFonts w:hint="eastAsia"/>
          <w:color w:val="auto"/>
          <w:kern w:val="2"/>
          <w:sz w:val="21"/>
          <w:szCs w:val="21"/>
        </w:rPr>
        <w:t>agarose gel electrophoresis without RNase</w:t>
      </w:r>
      <w:r>
        <w:rPr>
          <w:color w:val="auto"/>
          <w:kern w:val="2"/>
          <w:sz w:val="21"/>
          <w:szCs w:val="21"/>
        </w:rPr>
        <w:t>.</w:t>
      </w:r>
      <w:r>
        <w:rPr>
          <w:rFonts w:hint="eastAsia"/>
          <w:color w:val="auto"/>
          <w:kern w:val="2"/>
          <w:sz w:val="21"/>
          <w:szCs w:val="21"/>
        </w:rPr>
        <w:t xml:space="preserve"> After total RNA extraction, </w:t>
      </w:r>
      <w:r>
        <w:rPr>
          <w:rFonts w:hint="eastAsia"/>
          <w:color w:val="auto"/>
          <w:kern w:val="2"/>
          <w:sz w:val="21"/>
          <w:szCs w:val="21"/>
        </w:rPr>
        <w:lastRenderedPageBreak/>
        <w:t xml:space="preserve">mRNA was isolated and purified using oligomeric (dT) magnetic beads, buffered to short fragments, and reverse transcribed into cDNA using a </w:t>
      </w:r>
      <w:proofErr w:type="spellStart"/>
      <w:r>
        <w:rPr>
          <w:rFonts w:hint="eastAsia"/>
          <w:color w:val="auto"/>
          <w:kern w:val="2"/>
          <w:sz w:val="21"/>
          <w:szCs w:val="21"/>
        </w:rPr>
        <w:t>NEBNext</w:t>
      </w:r>
      <w:proofErr w:type="spellEnd"/>
      <w:r>
        <w:rPr>
          <w:rFonts w:hint="eastAsia"/>
          <w:color w:val="auto"/>
          <w:kern w:val="2"/>
          <w:sz w:val="21"/>
          <w:szCs w:val="21"/>
        </w:rPr>
        <w:t xml:space="preserve"> Ultra RNA library</w:t>
      </w:r>
      <w:r>
        <w:rPr>
          <w:rFonts w:eastAsia="宋体" w:hint="eastAsia"/>
          <w:color w:val="auto"/>
          <w:kern w:val="2"/>
          <w:sz w:val="21"/>
          <w:szCs w:val="21"/>
        </w:rPr>
        <w:t xml:space="preserve"> </w:t>
      </w:r>
      <w:r>
        <w:rPr>
          <w:rFonts w:eastAsia="宋体"/>
          <w:color w:val="auto"/>
          <w:kern w:val="2"/>
          <w:sz w:val="21"/>
          <w:szCs w:val="21"/>
        </w:rPr>
        <w:t xml:space="preserve">Prep Kit for Illumina (NEB #7530, New England Biolabs, Ipswich, MA, USA) according to the manufacturer’s instructions. </w:t>
      </w:r>
      <w:r>
        <w:rPr>
          <w:color w:val="auto"/>
          <w:kern w:val="2"/>
          <w:sz w:val="21"/>
          <w:szCs w:val="21"/>
        </w:rPr>
        <w:t>Purified double-stranded cDNA fragments were</w:t>
      </w:r>
      <w:r>
        <w:rPr>
          <w:rFonts w:hint="eastAsia"/>
          <w:color w:val="auto"/>
          <w:kern w:val="2"/>
          <w:sz w:val="21"/>
          <w:szCs w:val="21"/>
        </w:rPr>
        <w:t xml:space="preserve"> subjected to </w:t>
      </w:r>
      <w:r>
        <w:rPr>
          <w:color w:val="auto"/>
          <w:kern w:val="2"/>
          <w:sz w:val="21"/>
          <w:szCs w:val="21"/>
        </w:rPr>
        <w:t xml:space="preserve">end-repaired, a base </w:t>
      </w:r>
      <w:r>
        <w:rPr>
          <w:rFonts w:eastAsia="宋体"/>
          <w:color w:val="auto"/>
          <w:kern w:val="2"/>
          <w:sz w:val="21"/>
          <w:szCs w:val="21"/>
        </w:rPr>
        <w:t xml:space="preserve">was added, and then ligated to Illumina sequencing </w:t>
      </w:r>
      <w:r>
        <w:rPr>
          <w:rFonts w:eastAsia="宋体" w:hint="eastAsia"/>
          <w:color w:val="auto"/>
          <w:kern w:val="2"/>
          <w:sz w:val="21"/>
          <w:szCs w:val="21"/>
        </w:rPr>
        <w:t>linker</w:t>
      </w:r>
      <w:r>
        <w:rPr>
          <w:rFonts w:eastAsia="宋体"/>
          <w:color w:val="auto"/>
          <w:kern w:val="2"/>
          <w:sz w:val="21"/>
          <w:szCs w:val="21"/>
        </w:rPr>
        <w:t xml:space="preserve">. The ligation reaction was purified </w:t>
      </w:r>
      <w:r>
        <w:rPr>
          <w:color w:val="auto"/>
          <w:kern w:val="2"/>
          <w:sz w:val="21"/>
          <w:szCs w:val="21"/>
        </w:rPr>
        <w:t xml:space="preserve">using </w:t>
      </w:r>
      <w:proofErr w:type="spellStart"/>
      <w:r>
        <w:rPr>
          <w:color w:val="auto"/>
          <w:kern w:val="2"/>
          <w:sz w:val="21"/>
          <w:szCs w:val="21"/>
        </w:rPr>
        <w:t>AMPure</w:t>
      </w:r>
      <w:proofErr w:type="spellEnd"/>
      <w:r>
        <w:rPr>
          <w:color w:val="auto"/>
          <w:kern w:val="2"/>
          <w:sz w:val="21"/>
          <w:szCs w:val="21"/>
        </w:rPr>
        <w:t xml:space="preserve"> XP Beads (1.0X) and a polymerase chain reaction (PCR) was performed. </w:t>
      </w:r>
      <w:r>
        <w:rPr>
          <w:rFonts w:hint="eastAsia"/>
          <w:color w:val="auto"/>
          <w:kern w:val="2"/>
          <w:sz w:val="21"/>
          <w:szCs w:val="21"/>
        </w:rPr>
        <w:t>The cDNA library was sequenced on an Illumina Novaseq6000 (Gene Denovo Biotechnology Co., Guangzhou, China).</w:t>
      </w:r>
    </w:p>
    <w:p w14:paraId="7EF0AB15" w14:textId="77777777" w:rsidR="00665AB3" w:rsidRPr="002738C8" w:rsidRDefault="00665AB3" w:rsidP="00665AB3">
      <w:pPr>
        <w:pStyle w:val="af"/>
        <w:numPr>
          <w:ilvl w:val="1"/>
          <w:numId w:val="1"/>
        </w:numPr>
        <w:spacing w:line="360" w:lineRule="auto"/>
        <w:ind w:firstLineChars="0"/>
        <w:rPr>
          <w:rFonts w:ascii="Times New Roman" w:eastAsia="宋体" w:hAnsi="Times New Roman" w:cs="Times New Roman"/>
          <w:szCs w:val="21"/>
        </w:rPr>
      </w:pPr>
      <w:r w:rsidRPr="002738C8">
        <w:rPr>
          <w:rFonts w:ascii="Times New Roman" w:eastAsia="宋体" w:hAnsi="Times New Roman" w:cs="Times New Roman"/>
          <w:szCs w:val="21"/>
        </w:rPr>
        <w:t>Transcriptome assembly, annotation and analysis</w:t>
      </w:r>
    </w:p>
    <w:p w14:paraId="14AB7A30" w14:textId="05138296" w:rsidR="00950088" w:rsidRDefault="00000000" w:rsidP="00FC3758">
      <w:pPr>
        <w:suppressAutoHyphens/>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 xml:space="preserve">Transcriptome assembly was performed using Trinity software (Broad Institute, 2.6). Evaluation of the quality of assembly results on the basis of N50 values, serial length and benchmark universal single-copy orthologs (http://busco.ezlab.org/). Single gene serialization using NR, </w:t>
      </w:r>
      <w:proofErr w:type="spellStart"/>
      <w:r>
        <w:rPr>
          <w:rFonts w:ascii="Times New Roman" w:hAnsi="Times New Roman" w:cs="Times New Roman" w:hint="eastAsia"/>
          <w:szCs w:val="21"/>
        </w:rPr>
        <w:t>SwissProt</w:t>
      </w:r>
      <w:proofErr w:type="spellEnd"/>
      <w:r>
        <w:rPr>
          <w:rFonts w:ascii="Times New Roman" w:hAnsi="Times New Roman" w:cs="Times New Roman" w:hint="eastAsia"/>
          <w:szCs w:val="21"/>
        </w:rPr>
        <w:t xml:space="preserve">, KEGG, and COG/KOG databases (E-value &lt;:0.00001) to select the protein with the highest serial similarity to a given single gene to obtain protein function annotation information for a single gene. Gene-level stratified clustering and log2(FPKM 1) were calculated for all sampled genes. Differentially expressed genes (DEGs) were selected using </w:t>
      </w:r>
      <w:proofErr w:type="spellStart"/>
      <w:r>
        <w:rPr>
          <w:rFonts w:ascii="Times New Roman" w:hAnsi="Times New Roman" w:cs="Times New Roman" w:hint="eastAsia"/>
          <w:szCs w:val="21"/>
        </w:rPr>
        <w:t>edgeR's</w:t>
      </w:r>
      <w:proofErr w:type="spellEnd"/>
      <w:r>
        <w:rPr>
          <w:rFonts w:ascii="Times New Roman" w:hAnsi="Times New Roman" w:cs="Times New Roman" w:hint="eastAsia"/>
          <w:szCs w:val="21"/>
        </w:rPr>
        <w:t xml:space="preserve"> general filtering criteria (log2|fold change|&gt;1, false discovery rate [FDR] &lt;0.05) filtered by FPKM data. </w:t>
      </w:r>
      <w:proofErr w:type="spellStart"/>
      <w:r>
        <w:rPr>
          <w:rFonts w:ascii="Times New Roman" w:hAnsi="Times New Roman" w:cs="Times New Roman" w:hint="eastAsia"/>
          <w:szCs w:val="21"/>
        </w:rPr>
        <w:t>Analyse</w:t>
      </w:r>
      <w:proofErr w:type="spellEnd"/>
      <w:r>
        <w:rPr>
          <w:rFonts w:ascii="Times New Roman" w:hAnsi="Times New Roman" w:cs="Times New Roman" w:hint="eastAsia"/>
          <w:szCs w:val="21"/>
        </w:rPr>
        <w:t xml:space="preserve"> DEG temporal expression profiles and perform KEGG enrichment for each spectrum. Select and compare the desired genes to determine how they change when expressed.</w:t>
      </w:r>
    </w:p>
    <w:p w14:paraId="56DA68B7" w14:textId="73CAB4A2"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szCs w:val="21"/>
        </w:rPr>
        <w:t>S</w:t>
      </w:r>
      <w:r>
        <w:rPr>
          <w:rFonts w:ascii="Times New Roman" w:hAnsi="Times New Roman" w:cs="Times New Roman" w:hint="eastAsia"/>
          <w:szCs w:val="21"/>
        </w:rPr>
        <w:t>tatistical analysis</w:t>
      </w:r>
    </w:p>
    <w:p w14:paraId="13F008ED" w14:textId="438FBB70" w:rsidR="00950088" w:rsidRPr="00CA0A24" w:rsidRDefault="00000000" w:rsidP="00FC3758">
      <w:pPr>
        <w:suppressAutoHyphens/>
        <w:spacing w:line="360" w:lineRule="auto"/>
        <w:ind w:firstLineChars="200" w:firstLine="420"/>
        <w:rPr>
          <w:rFonts w:ascii="Times New Roman" w:hAnsi="Times New Roman" w:cs="Times New Roman"/>
          <w:szCs w:val="21"/>
        </w:rPr>
      </w:pPr>
      <w:r w:rsidRPr="00CA0A24">
        <w:rPr>
          <w:rFonts w:ascii="Times New Roman" w:hAnsi="Times New Roman" w:cs="Times New Roman"/>
          <w:szCs w:val="21"/>
        </w:rPr>
        <w:t xml:space="preserve">Means </w:t>
      </w:r>
      <w:r w:rsidRPr="00CA0A24">
        <w:rPr>
          <w:rFonts w:ascii="Times New Roman" w:hAnsi="Times New Roman" w:cs="Times New Roman" w:hint="eastAsia"/>
          <w:szCs w:val="21"/>
        </w:rPr>
        <w:t>±</w:t>
      </w:r>
      <w:r w:rsidRPr="00CA0A24">
        <w:rPr>
          <w:rFonts w:ascii="Times New Roman" w:hAnsi="Times New Roman" w:cs="Times New Roman"/>
          <w:szCs w:val="21"/>
        </w:rPr>
        <w:t xml:space="preserve"> standard error (SE) are reported for physiological and biochemical indicators. Statistical analyses were performed using SPSS (IBM, 23.0, Armonk, NY, USA). The significance level was set at </w:t>
      </w:r>
      <w:r w:rsidR="00313078" w:rsidRPr="00CA0A24">
        <w:rPr>
          <w:rFonts w:ascii="Times New Roman" w:eastAsia="宋体" w:hAnsi="Times New Roman" w:cs="Times New Roman"/>
          <w:i/>
          <w:iCs/>
          <w:szCs w:val="21"/>
        </w:rPr>
        <w:t>p</w:t>
      </w:r>
      <w:r w:rsidR="00313078" w:rsidRPr="00786890">
        <w:rPr>
          <w:rFonts w:ascii="Times New Roman" w:eastAsia="宋体" w:hAnsi="Times New Roman" w:cs="Times New Roman"/>
          <w:szCs w:val="21"/>
        </w:rPr>
        <w:t xml:space="preserve"> </w:t>
      </w:r>
      <w:r w:rsidRPr="00CA0A24">
        <w:rPr>
          <w:rFonts w:ascii="Times New Roman" w:hAnsi="Times New Roman" w:cs="Times New Roman"/>
          <w:szCs w:val="21"/>
        </w:rPr>
        <w:t>&lt;0.05. The normality (Shapiro-Wilk test) and the homogeneity of variance (Levene's test) of the data were checked before the statistical analysis.</w:t>
      </w:r>
      <w:r w:rsidRPr="00CA0A24">
        <w:rPr>
          <w:rFonts w:ascii="Times New Roman" w:eastAsia="宋体" w:hAnsi="Times New Roman" w:cs="Times New Roman"/>
          <w:szCs w:val="21"/>
        </w:rPr>
        <w:t xml:space="preserve"> When normality and homogeneity of variance were achieved, a one-way analysis of variance (</w:t>
      </w:r>
      <w:r w:rsidR="00F43280" w:rsidRPr="00CA0A24">
        <w:rPr>
          <w:rFonts w:ascii="Times New Roman" w:eastAsia="宋体" w:hAnsi="Times New Roman" w:cs="Times New Roman"/>
          <w:i/>
          <w:iCs/>
          <w:szCs w:val="21"/>
        </w:rPr>
        <w:t>p</w:t>
      </w:r>
      <w:r w:rsidRPr="00CA0A24">
        <w:rPr>
          <w:rFonts w:ascii="Times New Roman" w:eastAsia="宋体" w:hAnsi="Times New Roman" w:cs="Times New Roman"/>
          <w:szCs w:val="21"/>
        </w:rPr>
        <w:t xml:space="preserve"> &lt; 0.05) followed by Duncan's multiple range test was used to analyze the effect of BF on CGS larvae</w:t>
      </w:r>
      <w:r w:rsidRPr="00CA0A24">
        <w:rPr>
          <w:rFonts w:ascii="Times New Roman" w:hAnsi="Times New Roman" w:cs="Times New Roman"/>
          <w:szCs w:val="21"/>
        </w:rPr>
        <w:t xml:space="preserve">. If </w:t>
      </w:r>
      <w:r w:rsidRPr="00CA0A24">
        <w:rPr>
          <w:rFonts w:ascii="Times New Roman" w:eastAsia="宋体" w:hAnsi="Times New Roman" w:cs="Times New Roman"/>
          <w:szCs w:val="21"/>
        </w:rPr>
        <w:t xml:space="preserve">the normality and </w:t>
      </w:r>
      <w:r w:rsidRPr="00CA0A24">
        <w:rPr>
          <w:rFonts w:ascii="Times New Roman" w:hAnsi="Times New Roman" w:cs="Times New Roman"/>
          <w:szCs w:val="21"/>
        </w:rPr>
        <w:t xml:space="preserve">homogeneity of variance could not be obtained, nonparametric methods were used. Statistical analyses on DEGs were performed using </w:t>
      </w:r>
      <w:proofErr w:type="spellStart"/>
      <w:r w:rsidRPr="00CA0A24">
        <w:rPr>
          <w:rFonts w:ascii="Times New Roman" w:hAnsi="Times New Roman" w:cs="Times New Roman"/>
          <w:szCs w:val="21"/>
        </w:rPr>
        <w:t>OmicShare</w:t>
      </w:r>
      <w:proofErr w:type="spellEnd"/>
      <w:r w:rsidRPr="00CA0A24">
        <w:rPr>
          <w:rFonts w:ascii="Times New Roman" w:hAnsi="Times New Roman" w:cs="Times New Roman"/>
          <w:szCs w:val="21"/>
        </w:rPr>
        <w:t xml:space="preserve"> tools (</w:t>
      </w:r>
      <w:hyperlink r:id="rId9" w:history="1">
        <w:r w:rsidRPr="00CA0A24">
          <w:rPr>
            <w:rStyle w:val="ad"/>
            <w:rFonts w:ascii="Times New Roman" w:hAnsi="Times New Roman" w:cs="Times New Roman"/>
            <w:szCs w:val="21"/>
          </w:rPr>
          <w:t>https://www.omicsmart.com</w:t>
        </w:r>
      </w:hyperlink>
      <w:r w:rsidRPr="00CA0A24">
        <w:rPr>
          <w:rFonts w:ascii="Times New Roman" w:hAnsi="Times New Roman" w:cs="Times New Roman"/>
          <w:szCs w:val="21"/>
        </w:rPr>
        <w:t>).</w:t>
      </w:r>
    </w:p>
    <w:p w14:paraId="7A933AC5" w14:textId="1BB8D615" w:rsidR="00950088" w:rsidRDefault="00000000" w:rsidP="00FC3758">
      <w:pPr>
        <w:pStyle w:val="af"/>
        <w:numPr>
          <w:ilvl w:val="0"/>
          <w:numId w:val="1"/>
        </w:numPr>
        <w:suppressAutoHyphens/>
        <w:spacing w:line="360" w:lineRule="auto"/>
        <w:ind w:firstLineChars="0"/>
        <w:rPr>
          <w:rFonts w:ascii="Times New Roman" w:hAnsi="Times New Roman" w:cs="Times New Roman"/>
          <w:b/>
          <w:bCs/>
          <w:szCs w:val="21"/>
        </w:rPr>
      </w:pPr>
      <w:r>
        <w:rPr>
          <w:rFonts w:ascii="Times New Roman" w:hAnsi="Times New Roman" w:cs="Times New Roman"/>
          <w:b/>
          <w:bCs/>
          <w:szCs w:val="21"/>
        </w:rPr>
        <w:t>R</w:t>
      </w:r>
      <w:r>
        <w:rPr>
          <w:rFonts w:ascii="Times New Roman" w:hAnsi="Times New Roman" w:cs="Times New Roman" w:hint="eastAsia"/>
          <w:b/>
          <w:bCs/>
          <w:szCs w:val="21"/>
        </w:rPr>
        <w:t>esult</w:t>
      </w:r>
      <w:r>
        <w:rPr>
          <w:rFonts w:ascii="Times New Roman" w:hAnsi="Times New Roman" w:cs="Times New Roman"/>
          <w:b/>
          <w:bCs/>
          <w:szCs w:val="21"/>
        </w:rPr>
        <w:t>s</w:t>
      </w:r>
    </w:p>
    <w:p w14:paraId="7D428D20" w14:textId="1CF9ACB0"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hint="eastAsia"/>
          <w:szCs w:val="21"/>
        </w:rPr>
        <w:t>Acute toxicity effect</w:t>
      </w:r>
      <w:r>
        <w:rPr>
          <w:rFonts w:ascii="Times New Roman" w:hAnsi="Times New Roman" w:cs="Times New Roman"/>
          <w:szCs w:val="21"/>
        </w:rPr>
        <w:t>s</w:t>
      </w:r>
      <w:r>
        <w:rPr>
          <w:rFonts w:ascii="Times New Roman" w:hAnsi="Times New Roman" w:cs="Times New Roman" w:hint="eastAsia"/>
          <w:szCs w:val="21"/>
        </w:rPr>
        <w:t xml:space="preserve"> of </w:t>
      </w:r>
      <w:r>
        <w:rPr>
          <w:rFonts w:ascii="Times New Roman" w:hAnsi="Times New Roman" w:cs="Times New Roman"/>
          <w:szCs w:val="21"/>
        </w:rPr>
        <w:t>BF</w:t>
      </w:r>
      <w:r>
        <w:rPr>
          <w:rFonts w:ascii="Times New Roman" w:hAnsi="Times New Roman" w:cs="Times New Roman" w:hint="eastAsia"/>
          <w:szCs w:val="21"/>
        </w:rPr>
        <w:t xml:space="preserve"> on CGS larvae</w:t>
      </w:r>
    </w:p>
    <w:p w14:paraId="7D2D04AD" w14:textId="2B58FE82" w:rsidR="00950088" w:rsidRDefault="00000000" w:rsidP="00FC3758">
      <w:pPr>
        <w:suppressAutoHyphens/>
        <w:autoSpaceDE w:val="0"/>
        <w:autoSpaceDN w:val="0"/>
        <w:adjustRightInd w:val="0"/>
        <w:spacing w:line="360" w:lineRule="auto"/>
        <w:ind w:firstLineChars="200" w:firstLine="420"/>
        <w:rPr>
          <w:rFonts w:ascii="Times New Roman" w:hAnsi="Times New Roman" w:cs="Times New Roman"/>
          <w:szCs w:val="21"/>
        </w:rPr>
      </w:pPr>
      <w:r w:rsidRPr="00313078">
        <w:rPr>
          <w:rFonts w:ascii="Times New Roman" w:hAnsi="Times New Roman" w:cs="Times New Roman"/>
          <w:szCs w:val="21"/>
        </w:rPr>
        <w:lastRenderedPageBreak/>
        <w:t>Table 1 presents the results of the</w:t>
      </w:r>
      <w:r w:rsidR="00857A42" w:rsidRPr="00313078">
        <w:rPr>
          <w:rFonts w:ascii="Times New Roman" w:hAnsi="Times New Roman" w:cs="Times New Roman"/>
          <w:szCs w:val="21"/>
        </w:rPr>
        <w:t xml:space="preserve"> acute</w:t>
      </w:r>
      <w:r w:rsidRPr="00313078">
        <w:rPr>
          <w:rFonts w:ascii="Times New Roman" w:hAnsi="Times New Roman" w:cs="Times New Roman"/>
          <w:szCs w:val="21"/>
        </w:rPr>
        <w:t xml:space="preserve"> toxicity of BF on CGS larvae. The lethal concentrations </w:t>
      </w:r>
      <w:r w:rsidR="00857A42" w:rsidRPr="00313078">
        <w:rPr>
          <w:rFonts w:ascii="Times New Roman" w:hAnsi="Times New Roman" w:cs="Times New Roman"/>
          <w:szCs w:val="21"/>
        </w:rPr>
        <w:t>of</w:t>
      </w:r>
      <w:r w:rsidRPr="00313078">
        <w:rPr>
          <w:rFonts w:ascii="Times New Roman" w:hAnsi="Times New Roman" w:cs="Times New Roman"/>
          <w:szCs w:val="21"/>
        </w:rPr>
        <w:t xml:space="preserve"> BF killed </w:t>
      </w:r>
      <w:r w:rsidR="00857A42" w:rsidRPr="00313078">
        <w:rPr>
          <w:rFonts w:ascii="Times New Roman" w:hAnsi="Times New Roman" w:cs="Times New Roman"/>
          <w:szCs w:val="21"/>
        </w:rPr>
        <w:t>half</w:t>
      </w:r>
      <w:r w:rsidRPr="00313078">
        <w:rPr>
          <w:rFonts w:ascii="Times New Roman" w:hAnsi="Times New Roman" w:cs="Times New Roman"/>
          <w:szCs w:val="21"/>
        </w:rPr>
        <w:t xml:space="preserve"> of CGS larvae (LC50) at 24, 48, 72, and 96 h were 50, 27.4, 12.5, and 9.9 µg/L, respectively, and the safe concentration (SC) was</w:t>
      </w:r>
      <w:r w:rsidR="006D1E53" w:rsidRPr="00313078">
        <w:rPr>
          <w:rFonts w:ascii="Times New Roman" w:hAnsi="Times New Roman" w:cs="Times New Roman"/>
          <w:szCs w:val="21"/>
        </w:rPr>
        <w:t xml:space="preserve"> identified at</w:t>
      </w:r>
      <w:r w:rsidRPr="00313078">
        <w:rPr>
          <w:rFonts w:ascii="Times New Roman" w:hAnsi="Times New Roman" w:cs="Times New Roman"/>
          <w:szCs w:val="21"/>
        </w:rPr>
        <w:t xml:space="preserve"> 2.47 µg/L. According to the classifications outlined in section 2.1, BF was classified as acute grade I (highly toxic) to CGS larvae. </w:t>
      </w:r>
    </w:p>
    <w:p w14:paraId="2F7D8F8C" w14:textId="6682D35E" w:rsidR="00A30C9C" w:rsidRDefault="00A30C9C" w:rsidP="00A30C9C">
      <w:pPr>
        <w:suppressAutoHyphens/>
        <w:spacing w:line="360" w:lineRule="auto"/>
        <w:ind w:firstLineChars="200" w:firstLine="420"/>
        <w:rPr>
          <w:rFonts w:ascii="Times New Roman" w:hAnsi="Times New Roman" w:cs="Times New Roman"/>
          <w:szCs w:val="21"/>
        </w:rPr>
      </w:pPr>
      <w:r>
        <w:rPr>
          <w:rFonts w:ascii="Times New Roman" w:hAnsi="Times New Roman" w:cs="Times New Roman"/>
          <w:szCs w:val="21"/>
        </w:rPr>
        <w:t xml:space="preserve">The CGS exhibited a stress response to BF exposure on an individual behavioral level (Fig. </w:t>
      </w:r>
      <w:r w:rsidR="00424B08">
        <w:rPr>
          <w:rFonts w:ascii="Times New Roman" w:hAnsi="Times New Roman" w:cs="Times New Roman"/>
          <w:szCs w:val="21"/>
        </w:rPr>
        <w:t>1</w:t>
      </w:r>
      <w:r>
        <w:rPr>
          <w:rFonts w:ascii="Times New Roman" w:hAnsi="Times New Roman" w:cs="Times New Roman"/>
          <w:szCs w:val="21"/>
        </w:rPr>
        <w:t xml:space="preserve">). CGS larvae exhibited </w:t>
      </w:r>
      <w:r w:rsidRPr="00FC3758">
        <w:rPr>
          <w:rFonts w:ascii="Times New Roman" w:hAnsi="Times New Roman" w:cs="Times New Roman"/>
          <w:kern w:val="0"/>
          <w:szCs w:val="21"/>
        </w:rPr>
        <w:t>grayish</w:t>
      </w:r>
      <w:r>
        <w:rPr>
          <w:rFonts w:ascii="Times New Roman" w:hAnsi="Times New Roman" w:cs="Times New Roman" w:hint="eastAsia"/>
          <w:kern w:val="0"/>
          <w:szCs w:val="21"/>
        </w:rPr>
        <w:t>-white gill</w:t>
      </w:r>
      <w:r>
        <w:rPr>
          <w:rFonts w:ascii="Times New Roman" w:hAnsi="Times New Roman" w:cs="Times New Roman"/>
          <w:kern w:val="0"/>
          <w:szCs w:val="21"/>
        </w:rPr>
        <w:t>,</w:t>
      </w:r>
      <w:r>
        <w:rPr>
          <w:rFonts w:ascii="Times New Roman" w:eastAsia="宋体" w:hAnsi="Times New Roman" w:cs="Times New Roman"/>
          <w:szCs w:val="21"/>
        </w:rPr>
        <w:t xml:space="preserve"> abnormal activity</w:t>
      </w:r>
      <w:r>
        <w:rPr>
          <w:rFonts w:ascii="Times New Roman" w:hAnsi="Times New Roman" w:cs="Times New Roman"/>
          <w:szCs w:val="21"/>
        </w:rPr>
        <w:t xml:space="preserve">, body torsion, </w:t>
      </w:r>
      <w:r>
        <w:rPr>
          <w:rFonts w:ascii="Times New Roman" w:eastAsia="宋体" w:hAnsi="Times New Roman" w:cs="Times New Roman"/>
          <w:szCs w:val="21"/>
        </w:rPr>
        <w:t>and imbalance</w:t>
      </w:r>
      <w:r>
        <w:rPr>
          <w:rFonts w:ascii="Times New Roman" w:hAnsi="Times New Roman" w:cs="Times New Roman"/>
          <w:szCs w:val="21"/>
        </w:rPr>
        <w:t xml:space="preserve">. Particularly </w:t>
      </w:r>
      <w:r w:rsidR="001B1DB7">
        <w:rPr>
          <w:rFonts w:ascii="Times New Roman" w:eastAsia="宋体" w:hAnsi="Times New Roman" w:cs="Times New Roman"/>
          <w:szCs w:val="21"/>
        </w:rPr>
        <w:t xml:space="preserve">in </w:t>
      </w:r>
      <w:r w:rsidR="002C7652">
        <w:rPr>
          <w:rFonts w:ascii="Times New Roman" w:eastAsia="宋体" w:hAnsi="Times New Roman" w:cs="Times New Roman"/>
          <w:szCs w:val="21"/>
        </w:rPr>
        <w:t>high BF treatments</w:t>
      </w:r>
      <w:r>
        <w:rPr>
          <w:rFonts w:ascii="Times New Roman" w:hAnsi="Times New Roman" w:cs="Times New Roman" w:hint="eastAsia"/>
          <w:szCs w:val="21"/>
        </w:rPr>
        <w:t>,</w:t>
      </w:r>
      <w:r>
        <w:rPr>
          <w:rFonts w:ascii="Times New Roman" w:hAnsi="Times New Roman" w:cs="Times New Roman"/>
          <w:szCs w:val="21"/>
        </w:rPr>
        <w:t xml:space="preserve"> </w:t>
      </w:r>
      <w:r w:rsidR="002C7652">
        <w:rPr>
          <w:rFonts w:ascii="Times New Roman" w:hAnsi="Times New Roman" w:cs="Times New Roman"/>
          <w:szCs w:val="21"/>
        </w:rPr>
        <w:t xml:space="preserve">most </w:t>
      </w:r>
      <w:r>
        <w:rPr>
          <w:rFonts w:ascii="Times New Roman" w:hAnsi="Times New Roman" w:cs="Times New Roman"/>
          <w:szCs w:val="21"/>
        </w:rPr>
        <w:t>CGS</w:t>
      </w:r>
      <w:r w:rsidR="001B1DB7">
        <w:rPr>
          <w:rFonts w:ascii="Times New Roman" w:hAnsi="Times New Roman" w:cs="Times New Roman"/>
          <w:szCs w:val="21"/>
        </w:rPr>
        <w:t xml:space="preserve"> larvae</w:t>
      </w:r>
      <w:r>
        <w:rPr>
          <w:rFonts w:ascii="Times New Roman" w:hAnsi="Times New Roman" w:cs="Times New Roman"/>
          <w:szCs w:val="21"/>
        </w:rPr>
        <w:t xml:space="preserve"> </w:t>
      </w:r>
      <w:r w:rsidR="002C7652">
        <w:rPr>
          <w:rFonts w:ascii="Times New Roman" w:hAnsi="Times New Roman" w:cs="Times New Roman"/>
          <w:szCs w:val="21"/>
        </w:rPr>
        <w:t xml:space="preserve">also </w:t>
      </w:r>
      <w:r>
        <w:rPr>
          <w:rFonts w:ascii="Times New Roman" w:hAnsi="Times New Roman" w:cs="Times New Roman"/>
          <w:szCs w:val="21"/>
        </w:rPr>
        <w:t xml:space="preserve">exhibited </w:t>
      </w:r>
      <w:r>
        <w:rPr>
          <w:rFonts w:ascii="Times New Roman" w:eastAsia="宋体" w:hAnsi="Times New Roman" w:cs="Times New Roman"/>
          <w:szCs w:val="21"/>
        </w:rPr>
        <w:t>whitish bodies, slow movement</w:t>
      </w:r>
      <w:r w:rsidR="00D30AD5">
        <w:rPr>
          <w:rFonts w:ascii="Times New Roman" w:eastAsia="宋体" w:hAnsi="Times New Roman" w:cs="Times New Roman"/>
          <w:szCs w:val="21"/>
        </w:rPr>
        <w:t xml:space="preserve"> and </w:t>
      </w:r>
      <w:r>
        <w:rPr>
          <w:rFonts w:ascii="Times New Roman" w:eastAsia="宋体" w:hAnsi="Times New Roman" w:cs="Times New Roman"/>
          <w:szCs w:val="21"/>
        </w:rPr>
        <w:t>stiff bodie</w:t>
      </w:r>
      <w:r w:rsidR="00D30AD5">
        <w:rPr>
          <w:rFonts w:ascii="Times New Roman" w:eastAsia="宋体" w:hAnsi="Times New Roman" w:cs="Times New Roman"/>
          <w:szCs w:val="21"/>
        </w:rPr>
        <w:t>s</w:t>
      </w:r>
      <w:r>
        <w:rPr>
          <w:rFonts w:ascii="Times New Roman" w:hAnsi="Times New Roman" w:cs="Times New Roman" w:hint="eastAsia"/>
          <w:szCs w:val="21"/>
        </w:rPr>
        <w:t>.</w:t>
      </w:r>
    </w:p>
    <w:p w14:paraId="3C5FE77E" w14:textId="323052E0" w:rsidR="00950088" w:rsidRPr="00AF4D94" w:rsidRDefault="00000000" w:rsidP="00FC3758">
      <w:pPr>
        <w:pStyle w:val="af"/>
        <w:numPr>
          <w:ilvl w:val="1"/>
          <w:numId w:val="1"/>
        </w:numPr>
        <w:suppressAutoHyphens/>
        <w:spacing w:line="360" w:lineRule="auto"/>
        <w:ind w:firstLineChars="0"/>
        <w:rPr>
          <w:rFonts w:ascii="Times New Roman" w:hAnsi="Times New Roman" w:cs="Times New Roman"/>
          <w:szCs w:val="21"/>
        </w:rPr>
      </w:pPr>
      <w:r w:rsidRPr="00AF4D94">
        <w:rPr>
          <w:rFonts w:ascii="Times New Roman" w:hAnsi="Times New Roman" w:cs="Times New Roman"/>
          <w:szCs w:val="21"/>
        </w:rPr>
        <w:t xml:space="preserve">Oxidative stress injury </w:t>
      </w:r>
      <w:r w:rsidR="00C70C8B" w:rsidRPr="00AF4D94">
        <w:rPr>
          <w:rFonts w:ascii="Times New Roman" w:hAnsi="Times New Roman" w:cs="Times New Roman"/>
          <w:szCs w:val="21"/>
        </w:rPr>
        <w:t>of BF</w:t>
      </w:r>
      <w:r w:rsidR="00562261" w:rsidRPr="00AF4D94">
        <w:rPr>
          <w:rFonts w:ascii="Times New Roman" w:hAnsi="Times New Roman" w:cs="Times New Roman"/>
          <w:szCs w:val="21"/>
        </w:rPr>
        <w:t xml:space="preserve"> exposure</w:t>
      </w:r>
      <w:r w:rsidR="00C70C8B" w:rsidRPr="00AF4D94">
        <w:rPr>
          <w:rFonts w:ascii="Times New Roman" w:hAnsi="Times New Roman" w:cs="Times New Roman"/>
          <w:szCs w:val="21"/>
        </w:rPr>
        <w:t xml:space="preserve"> </w:t>
      </w:r>
      <w:r w:rsidRPr="00AF4D94">
        <w:rPr>
          <w:rFonts w:ascii="Times New Roman" w:hAnsi="Times New Roman" w:cs="Times New Roman"/>
          <w:szCs w:val="21"/>
        </w:rPr>
        <w:t xml:space="preserve">on CGS larvae </w:t>
      </w:r>
    </w:p>
    <w:p w14:paraId="64CDBF07" w14:textId="7C3B42B1" w:rsidR="00950088" w:rsidRPr="00AF4D94" w:rsidRDefault="00562261" w:rsidP="00FC3758">
      <w:pPr>
        <w:pStyle w:val="a9"/>
        <w:suppressAutoHyphens/>
        <w:spacing w:before="0" w:beforeAutospacing="0" w:after="0" w:afterAutospacing="0" w:line="360" w:lineRule="auto"/>
        <w:ind w:firstLineChars="200" w:firstLine="420"/>
        <w:jc w:val="both"/>
        <w:rPr>
          <w:rFonts w:ascii="Times New Roman" w:hAnsi="Times New Roman" w:cs="Times New Roman"/>
          <w:sz w:val="21"/>
          <w:szCs w:val="21"/>
        </w:rPr>
      </w:pPr>
      <w:r w:rsidRPr="00AF4D94">
        <w:rPr>
          <w:rFonts w:ascii="Times New Roman" w:hAnsi="Times New Roman" w:cs="Times New Roman"/>
          <w:sz w:val="21"/>
          <w:szCs w:val="21"/>
        </w:rPr>
        <w:t xml:space="preserve">Based on the results of acute BF toxicity tests, figure </w:t>
      </w:r>
      <w:r w:rsidR="00424B08">
        <w:rPr>
          <w:rFonts w:ascii="Times New Roman" w:hAnsi="Times New Roman" w:cs="Times New Roman"/>
          <w:sz w:val="21"/>
          <w:szCs w:val="21"/>
        </w:rPr>
        <w:t>2</w:t>
      </w:r>
      <w:r w:rsidR="00424B08" w:rsidRPr="00AF4D94">
        <w:rPr>
          <w:rFonts w:ascii="Times New Roman" w:hAnsi="Times New Roman" w:cs="Times New Roman"/>
          <w:sz w:val="21"/>
          <w:szCs w:val="21"/>
        </w:rPr>
        <w:t xml:space="preserve"> </w:t>
      </w:r>
      <w:r w:rsidRPr="00AF4D94">
        <w:rPr>
          <w:rFonts w:ascii="Times New Roman" w:hAnsi="Times New Roman" w:cs="Times New Roman"/>
          <w:sz w:val="21"/>
          <w:szCs w:val="21"/>
        </w:rPr>
        <w:t xml:space="preserve">and Table </w:t>
      </w:r>
      <w:r w:rsidR="00227F27" w:rsidRPr="00AF4D94">
        <w:rPr>
          <w:rFonts w:ascii="Times New Roman" w:hAnsi="Times New Roman" w:cs="Times New Roman"/>
          <w:sz w:val="21"/>
          <w:szCs w:val="21"/>
        </w:rPr>
        <w:t>2</w:t>
      </w:r>
      <w:r w:rsidRPr="00AF4D94">
        <w:rPr>
          <w:rFonts w:ascii="Times New Roman" w:hAnsi="Times New Roman" w:cs="Times New Roman"/>
          <w:sz w:val="21"/>
          <w:szCs w:val="21"/>
        </w:rPr>
        <w:t xml:space="preserve"> </w:t>
      </w:r>
      <w:r w:rsidR="00AF4AFA" w:rsidRPr="00AF4D94">
        <w:rPr>
          <w:rFonts w:ascii="Times New Roman" w:hAnsi="Times New Roman" w:cs="Times New Roman"/>
          <w:sz w:val="21"/>
          <w:szCs w:val="21"/>
        </w:rPr>
        <w:t>exhibited</w:t>
      </w:r>
      <w:r w:rsidRPr="00AF4D94">
        <w:rPr>
          <w:rFonts w:ascii="Times New Roman" w:hAnsi="Times New Roman" w:cs="Times New Roman"/>
          <w:sz w:val="21"/>
          <w:szCs w:val="21"/>
        </w:rPr>
        <w:t xml:space="preserve"> the</w:t>
      </w:r>
      <w:r w:rsidR="00670A13" w:rsidRPr="00AF4D94">
        <w:rPr>
          <w:rFonts w:ascii="Times New Roman" w:hAnsi="Times New Roman" w:cs="Times New Roman"/>
          <w:sz w:val="21"/>
          <w:szCs w:val="21"/>
        </w:rPr>
        <w:t xml:space="preserve"> 1-week BF exposure</w:t>
      </w:r>
      <w:r w:rsidR="00D26A21" w:rsidRPr="00AF4D94">
        <w:rPr>
          <w:rFonts w:ascii="Times New Roman" w:hAnsi="Times New Roman" w:cs="Times New Roman"/>
          <w:sz w:val="21"/>
          <w:szCs w:val="21"/>
        </w:rPr>
        <w:t xml:space="preserve"> (0, 0.04 and 4 </w:t>
      </w:r>
      <w:proofErr w:type="spellStart"/>
      <w:r w:rsidR="00D26A21" w:rsidRPr="00AF4D94">
        <w:rPr>
          <w:rFonts w:ascii="Times New Roman" w:hAnsi="Times New Roman" w:cs="Times New Roman"/>
          <w:sz w:val="21"/>
          <w:szCs w:val="21"/>
        </w:rPr>
        <w:t>μg</w:t>
      </w:r>
      <w:proofErr w:type="spellEnd"/>
      <w:r w:rsidR="00D26A21" w:rsidRPr="00AF4D94">
        <w:rPr>
          <w:rFonts w:ascii="Times New Roman" w:hAnsi="Times New Roman" w:cs="Times New Roman"/>
          <w:sz w:val="21"/>
          <w:szCs w:val="21"/>
        </w:rPr>
        <w:t>/L)</w:t>
      </w:r>
      <w:r w:rsidRPr="00AF4D94">
        <w:rPr>
          <w:rFonts w:ascii="Times New Roman" w:hAnsi="Times New Roman" w:cs="Times New Roman"/>
          <w:sz w:val="21"/>
          <w:szCs w:val="21"/>
        </w:rPr>
        <w:t xml:space="preserve"> effects on oxidative stress in </w:t>
      </w:r>
      <w:r w:rsidR="0097219A" w:rsidRPr="00AF4D94">
        <w:rPr>
          <w:rFonts w:ascii="Times New Roman" w:hAnsi="Times New Roman" w:cs="Times New Roman"/>
          <w:sz w:val="21"/>
          <w:szCs w:val="21"/>
        </w:rPr>
        <w:t xml:space="preserve">various tissues of the </w:t>
      </w:r>
      <w:r w:rsidRPr="00AF4D94">
        <w:rPr>
          <w:rFonts w:ascii="Times New Roman" w:hAnsi="Times New Roman" w:cs="Times New Roman"/>
          <w:sz w:val="21"/>
          <w:szCs w:val="21"/>
        </w:rPr>
        <w:t xml:space="preserve">CGS larvae. </w:t>
      </w:r>
      <w:r w:rsidR="0097219A" w:rsidRPr="00AF4D94">
        <w:rPr>
          <w:rFonts w:ascii="Times New Roman" w:hAnsi="Times New Roman" w:cs="Times New Roman"/>
          <w:sz w:val="21"/>
          <w:szCs w:val="21"/>
        </w:rPr>
        <w:t>S</w:t>
      </w:r>
      <w:r w:rsidRPr="00AF4D94">
        <w:rPr>
          <w:rFonts w:ascii="Times New Roman" w:hAnsi="Times New Roman" w:cs="Times New Roman"/>
          <w:sz w:val="21"/>
          <w:szCs w:val="21"/>
        </w:rPr>
        <w:t>ignificant changes</w:t>
      </w:r>
      <w:r w:rsidR="0097219A" w:rsidRPr="00AF4D94">
        <w:rPr>
          <w:rFonts w:ascii="Times New Roman" w:hAnsi="Times New Roman" w:cs="Times New Roman"/>
          <w:sz w:val="21"/>
          <w:szCs w:val="21"/>
        </w:rPr>
        <w:t xml:space="preserve"> </w:t>
      </w:r>
      <w:r w:rsidRPr="00AF4D94">
        <w:rPr>
          <w:rFonts w:ascii="Times New Roman" w:hAnsi="Times New Roman" w:cs="Times New Roman"/>
          <w:sz w:val="21"/>
          <w:szCs w:val="21"/>
        </w:rPr>
        <w:t>in the oxidative stress factors</w:t>
      </w:r>
      <w:r w:rsidR="008F3F50" w:rsidRPr="00AF4D94">
        <w:rPr>
          <w:rFonts w:ascii="Times New Roman" w:hAnsi="Times New Roman" w:cs="Times New Roman"/>
          <w:sz w:val="21"/>
          <w:szCs w:val="21"/>
        </w:rPr>
        <w:t xml:space="preserve"> were detected</w:t>
      </w:r>
      <w:r w:rsidRPr="00AF4D94">
        <w:rPr>
          <w:rFonts w:ascii="Times New Roman" w:hAnsi="Times New Roman" w:cs="Times New Roman"/>
          <w:sz w:val="21"/>
          <w:szCs w:val="21"/>
        </w:rPr>
        <w:t xml:space="preserve"> in various tissues of the CGS larvae (</w:t>
      </w:r>
      <w:r w:rsidR="00A54D37" w:rsidRPr="0083523B">
        <w:rPr>
          <w:rFonts w:ascii="Times New Roman" w:hAnsi="Times New Roman" w:cs="Times New Roman"/>
          <w:i/>
          <w:iCs/>
          <w:sz w:val="21"/>
          <w:szCs w:val="21"/>
        </w:rPr>
        <w:t>p</w:t>
      </w:r>
      <w:r w:rsidR="00A54D37" w:rsidRPr="00AF4D94">
        <w:rPr>
          <w:rFonts w:ascii="Times New Roman" w:hAnsi="Times New Roman" w:cs="Times New Roman"/>
          <w:sz w:val="21"/>
          <w:szCs w:val="21"/>
        </w:rPr>
        <w:t xml:space="preserve"> </w:t>
      </w:r>
      <w:r w:rsidRPr="00AF4D94">
        <w:rPr>
          <w:rFonts w:ascii="Times New Roman" w:hAnsi="Times New Roman" w:cs="Times New Roman"/>
          <w:sz w:val="21"/>
          <w:szCs w:val="21"/>
        </w:rPr>
        <w:t xml:space="preserve">&lt;0.05). Compared with the control group, the concentrations of ATP, GSH, SOD, and CAT in the brain, liver, and kidney </w:t>
      </w:r>
      <w:r w:rsidR="008F3F50" w:rsidRPr="00AF4D94">
        <w:rPr>
          <w:rFonts w:ascii="Times New Roman" w:hAnsi="Times New Roman" w:cs="Times New Roman"/>
          <w:sz w:val="21"/>
          <w:szCs w:val="21"/>
        </w:rPr>
        <w:t xml:space="preserve">in all BF exposure groups </w:t>
      </w:r>
      <w:r w:rsidRPr="00AF4D94">
        <w:rPr>
          <w:rFonts w:ascii="Times New Roman" w:hAnsi="Times New Roman" w:cs="Times New Roman"/>
          <w:sz w:val="21"/>
          <w:szCs w:val="21"/>
        </w:rPr>
        <w:t xml:space="preserve">all decreased significantly with BF </w:t>
      </w:r>
      <w:r w:rsidR="008F3F50" w:rsidRPr="00AF4D94">
        <w:rPr>
          <w:rFonts w:ascii="Times New Roman" w:hAnsi="Times New Roman" w:cs="Times New Roman"/>
          <w:sz w:val="21"/>
          <w:szCs w:val="21"/>
        </w:rPr>
        <w:t>increasing</w:t>
      </w:r>
      <w:r w:rsidRPr="00AF4D94">
        <w:rPr>
          <w:rFonts w:ascii="Times New Roman" w:hAnsi="Times New Roman" w:cs="Times New Roman"/>
          <w:sz w:val="21"/>
          <w:szCs w:val="21"/>
        </w:rPr>
        <w:t>. The concentrations of ATP and SOD in the liver were significantly lower than those in the brain and kidney in all BF treatments (</w:t>
      </w:r>
      <w:r w:rsidR="0051038B" w:rsidRPr="00AF4D94">
        <w:rPr>
          <w:rFonts w:ascii="Times New Roman" w:hAnsi="Times New Roman" w:cs="Times New Roman"/>
          <w:i/>
          <w:iCs/>
          <w:sz w:val="21"/>
          <w:szCs w:val="21"/>
        </w:rPr>
        <w:t>p</w:t>
      </w:r>
      <w:r w:rsidR="001A2B07" w:rsidRPr="00AF4D94">
        <w:rPr>
          <w:rFonts w:ascii="Times New Roman" w:hAnsi="Times New Roman" w:cs="Times New Roman"/>
          <w:i/>
          <w:iCs/>
          <w:sz w:val="21"/>
          <w:szCs w:val="21"/>
        </w:rPr>
        <w:t xml:space="preserve"> </w:t>
      </w:r>
      <w:r w:rsidRPr="00AF4D94">
        <w:rPr>
          <w:rFonts w:ascii="Times New Roman" w:hAnsi="Times New Roman" w:cs="Times New Roman"/>
          <w:sz w:val="21"/>
          <w:szCs w:val="21"/>
        </w:rPr>
        <w:t>&lt;</w:t>
      </w:r>
      <w:r w:rsidR="001A2B07" w:rsidRPr="00AF4D94">
        <w:rPr>
          <w:rFonts w:ascii="Times New Roman" w:hAnsi="Times New Roman" w:cs="Times New Roman"/>
          <w:sz w:val="21"/>
          <w:szCs w:val="21"/>
        </w:rPr>
        <w:t xml:space="preserve"> </w:t>
      </w:r>
      <w:r w:rsidRPr="00AF4D94">
        <w:rPr>
          <w:rFonts w:ascii="Times New Roman" w:hAnsi="Times New Roman" w:cs="Times New Roman"/>
          <w:sz w:val="21"/>
          <w:szCs w:val="21"/>
        </w:rPr>
        <w:t>0.05)</w:t>
      </w:r>
      <w:r w:rsidR="008F3F50" w:rsidRPr="00AF4D94">
        <w:rPr>
          <w:rFonts w:ascii="Times New Roman" w:hAnsi="Times New Roman" w:cs="Times New Roman"/>
          <w:sz w:val="21"/>
          <w:szCs w:val="21"/>
        </w:rPr>
        <w:t>,</w:t>
      </w:r>
      <w:r w:rsidRPr="00AF4D94">
        <w:rPr>
          <w:rFonts w:ascii="Times New Roman" w:hAnsi="Times New Roman" w:cs="Times New Roman"/>
          <w:sz w:val="21"/>
          <w:szCs w:val="21"/>
        </w:rPr>
        <w:t xml:space="preserve"> however, no significant difference (</w:t>
      </w:r>
      <w:r w:rsidR="008F3F50" w:rsidRPr="00AF4D94">
        <w:rPr>
          <w:rFonts w:ascii="Times New Roman" w:hAnsi="Times New Roman" w:cs="Times New Roman"/>
          <w:i/>
          <w:iCs/>
          <w:sz w:val="21"/>
          <w:szCs w:val="21"/>
        </w:rPr>
        <w:t>p</w:t>
      </w:r>
      <w:r w:rsidR="001A2B07" w:rsidRPr="00AF4D94">
        <w:rPr>
          <w:rFonts w:ascii="Times New Roman" w:hAnsi="Times New Roman" w:cs="Times New Roman"/>
          <w:i/>
          <w:iCs/>
          <w:sz w:val="21"/>
          <w:szCs w:val="21"/>
        </w:rPr>
        <w:t xml:space="preserve"> </w:t>
      </w:r>
      <w:r w:rsidRPr="00AF4D94">
        <w:rPr>
          <w:rFonts w:ascii="Times New Roman" w:hAnsi="Times New Roman" w:cs="Times New Roman"/>
          <w:sz w:val="21"/>
          <w:szCs w:val="21"/>
        </w:rPr>
        <w:t>&gt;</w:t>
      </w:r>
      <w:r w:rsidR="001A2B07" w:rsidRPr="00AF4D94">
        <w:rPr>
          <w:rFonts w:ascii="Times New Roman" w:hAnsi="Times New Roman" w:cs="Times New Roman"/>
          <w:sz w:val="21"/>
          <w:szCs w:val="21"/>
        </w:rPr>
        <w:t xml:space="preserve"> </w:t>
      </w:r>
      <w:r w:rsidRPr="00AF4D94">
        <w:rPr>
          <w:rFonts w:ascii="Times New Roman" w:hAnsi="Times New Roman" w:cs="Times New Roman"/>
          <w:sz w:val="21"/>
          <w:szCs w:val="21"/>
        </w:rPr>
        <w:t xml:space="preserve">0.05) of GSH and CAT </w:t>
      </w:r>
      <w:r w:rsidR="00A43BD1" w:rsidRPr="00AF4D94">
        <w:rPr>
          <w:rFonts w:ascii="Times New Roman" w:hAnsi="Times New Roman" w:cs="Times New Roman"/>
          <w:sz w:val="21"/>
          <w:szCs w:val="21"/>
        </w:rPr>
        <w:t xml:space="preserve">were detected </w:t>
      </w:r>
      <w:r w:rsidRPr="00AF4D94">
        <w:rPr>
          <w:rFonts w:ascii="Times New Roman" w:hAnsi="Times New Roman" w:cs="Times New Roman"/>
          <w:sz w:val="21"/>
          <w:szCs w:val="21"/>
        </w:rPr>
        <w:t>among the three tissues. Conversely, MDA and ROS concentrations</w:t>
      </w:r>
      <w:r w:rsidR="00A43BD1" w:rsidRPr="00AF4D94">
        <w:rPr>
          <w:rFonts w:ascii="Times New Roman" w:hAnsi="Times New Roman" w:cs="Times New Roman"/>
          <w:sz w:val="21"/>
          <w:szCs w:val="21"/>
        </w:rPr>
        <w:t xml:space="preserve"> significantly</w:t>
      </w:r>
      <w:r w:rsidRPr="00AF4D94">
        <w:rPr>
          <w:rFonts w:ascii="Times New Roman" w:hAnsi="Times New Roman" w:cs="Times New Roman"/>
          <w:sz w:val="21"/>
          <w:szCs w:val="21"/>
        </w:rPr>
        <w:t xml:space="preserve"> increased with </w:t>
      </w:r>
      <w:r w:rsidR="00A43BD1" w:rsidRPr="00AF4D94">
        <w:rPr>
          <w:rFonts w:ascii="Times New Roman" w:hAnsi="Times New Roman" w:cs="Times New Roman"/>
          <w:sz w:val="21"/>
          <w:szCs w:val="21"/>
        </w:rPr>
        <w:t>BF</w:t>
      </w:r>
      <w:r w:rsidR="00E92780" w:rsidRPr="00AF4D94">
        <w:rPr>
          <w:rFonts w:ascii="Times New Roman" w:hAnsi="Times New Roman" w:cs="Times New Roman"/>
          <w:sz w:val="21"/>
          <w:szCs w:val="21"/>
        </w:rPr>
        <w:t xml:space="preserve"> concentration</w:t>
      </w:r>
      <w:r w:rsidR="00A43BD1" w:rsidRPr="00AF4D94">
        <w:rPr>
          <w:rFonts w:ascii="Times New Roman" w:hAnsi="Times New Roman" w:cs="Times New Roman"/>
          <w:sz w:val="21"/>
          <w:szCs w:val="21"/>
        </w:rPr>
        <w:t xml:space="preserve"> </w:t>
      </w:r>
      <w:r w:rsidRPr="00AF4D94">
        <w:rPr>
          <w:rFonts w:ascii="Times New Roman" w:hAnsi="Times New Roman" w:cs="Times New Roman"/>
          <w:sz w:val="21"/>
          <w:szCs w:val="21"/>
        </w:rPr>
        <w:t>increasing and substantial difference</w:t>
      </w:r>
      <w:r w:rsidR="00A25A3B" w:rsidRPr="00AF4D94">
        <w:rPr>
          <w:rFonts w:ascii="Times New Roman" w:hAnsi="Times New Roman" w:cs="Times New Roman"/>
          <w:sz w:val="21"/>
          <w:szCs w:val="21"/>
        </w:rPr>
        <w:t xml:space="preserve"> were shown</w:t>
      </w:r>
      <w:r w:rsidRPr="00AF4D94">
        <w:rPr>
          <w:rFonts w:ascii="Times New Roman" w:hAnsi="Times New Roman" w:cs="Times New Roman"/>
          <w:sz w:val="21"/>
          <w:szCs w:val="21"/>
        </w:rPr>
        <w:t xml:space="preserve"> between the</w:t>
      </w:r>
      <w:r w:rsidR="00D0592B" w:rsidRPr="00AF4D94">
        <w:rPr>
          <w:rFonts w:ascii="Times New Roman" w:hAnsi="Times New Roman" w:cs="Times New Roman"/>
          <w:sz w:val="21"/>
          <w:szCs w:val="21"/>
        </w:rPr>
        <w:t xml:space="preserve"> BF</w:t>
      </w:r>
      <w:r w:rsidRPr="00AF4D94">
        <w:rPr>
          <w:rFonts w:ascii="Times New Roman" w:hAnsi="Times New Roman" w:cs="Times New Roman"/>
          <w:sz w:val="21"/>
          <w:szCs w:val="21"/>
        </w:rPr>
        <w:t xml:space="preserve"> </w:t>
      </w:r>
      <w:r w:rsidR="002A5E77" w:rsidRPr="00AF4D94">
        <w:rPr>
          <w:rFonts w:ascii="Times New Roman" w:hAnsi="Times New Roman" w:cs="Times New Roman"/>
          <w:sz w:val="21"/>
          <w:szCs w:val="21"/>
        </w:rPr>
        <w:t>treatments</w:t>
      </w:r>
      <w:r w:rsidRPr="00AF4D94">
        <w:rPr>
          <w:rFonts w:ascii="Times New Roman" w:hAnsi="Times New Roman" w:cs="Times New Roman"/>
          <w:sz w:val="21"/>
          <w:szCs w:val="21"/>
        </w:rPr>
        <w:t xml:space="preserve"> (</w:t>
      </w:r>
      <w:r w:rsidR="001A2B07" w:rsidRPr="00AF4D94">
        <w:rPr>
          <w:rFonts w:ascii="Times New Roman" w:hAnsi="Times New Roman" w:cs="Times New Roman"/>
          <w:i/>
          <w:iCs/>
          <w:sz w:val="21"/>
          <w:szCs w:val="21"/>
        </w:rPr>
        <w:t>p</w:t>
      </w:r>
      <w:r w:rsidR="001A2B07" w:rsidRPr="00AF4D94">
        <w:rPr>
          <w:rFonts w:ascii="Times New Roman" w:hAnsi="Times New Roman" w:cs="Times New Roman"/>
          <w:sz w:val="21"/>
          <w:szCs w:val="21"/>
        </w:rPr>
        <w:t xml:space="preserve"> </w:t>
      </w:r>
      <w:r w:rsidRPr="00AF4D94">
        <w:rPr>
          <w:rFonts w:ascii="Times New Roman" w:hAnsi="Times New Roman" w:cs="Times New Roman"/>
          <w:sz w:val="21"/>
          <w:szCs w:val="21"/>
        </w:rPr>
        <w:t>&lt;</w:t>
      </w:r>
      <w:r w:rsidR="001A2B07" w:rsidRPr="00AF4D94">
        <w:rPr>
          <w:rFonts w:ascii="Times New Roman" w:hAnsi="Times New Roman" w:cs="Times New Roman"/>
          <w:sz w:val="21"/>
          <w:szCs w:val="21"/>
        </w:rPr>
        <w:t xml:space="preserve"> </w:t>
      </w:r>
      <w:r w:rsidRPr="00AF4D94">
        <w:rPr>
          <w:rFonts w:ascii="Times New Roman" w:hAnsi="Times New Roman" w:cs="Times New Roman"/>
          <w:sz w:val="21"/>
          <w:szCs w:val="21"/>
        </w:rPr>
        <w:t>0.05). The kidney exhibited a more pronounced downward trend in SOD concentration compared to the liver and brain with</w:t>
      </w:r>
      <w:r w:rsidR="00E92780" w:rsidRPr="00AF4D94">
        <w:rPr>
          <w:rFonts w:ascii="Times New Roman" w:hAnsi="Times New Roman" w:cs="Times New Roman"/>
          <w:sz w:val="21"/>
          <w:szCs w:val="21"/>
        </w:rPr>
        <w:t xml:space="preserve"> BF concentration</w:t>
      </w:r>
      <w:r w:rsidRPr="00AF4D94">
        <w:rPr>
          <w:rFonts w:ascii="Times New Roman" w:hAnsi="Times New Roman" w:cs="Times New Roman"/>
          <w:sz w:val="21"/>
          <w:szCs w:val="21"/>
        </w:rPr>
        <w:t xml:space="preserve"> increasing. </w:t>
      </w:r>
    </w:p>
    <w:p w14:paraId="0E7AA804" w14:textId="4B7E9485" w:rsidR="00950088" w:rsidRPr="00AF4D94" w:rsidRDefault="00000000" w:rsidP="00562261">
      <w:pPr>
        <w:pStyle w:val="af"/>
        <w:numPr>
          <w:ilvl w:val="1"/>
          <w:numId w:val="1"/>
        </w:numPr>
        <w:suppressAutoHyphens/>
        <w:spacing w:line="360" w:lineRule="auto"/>
        <w:ind w:firstLineChars="0"/>
        <w:rPr>
          <w:rFonts w:ascii="Times New Roman" w:hAnsi="Times New Roman" w:cs="Times New Roman"/>
          <w:szCs w:val="21"/>
        </w:rPr>
      </w:pPr>
      <w:r w:rsidRPr="00AF4D94">
        <w:rPr>
          <w:rFonts w:ascii="Times New Roman" w:hAnsi="Times New Roman" w:cs="Times New Roman"/>
          <w:szCs w:val="21"/>
        </w:rPr>
        <w:t xml:space="preserve">DNA damage </w:t>
      </w:r>
      <w:r w:rsidR="00562261" w:rsidRPr="00AF4D94">
        <w:rPr>
          <w:rFonts w:ascii="Times New Roman" w:hAnsi="Times New Roman" w:cs="Times New Roman"/>
          <w:szCs w:val="21"/>
        </w:rPr>
        <w:t>of BF exposure on CGS larvae</w:t>
      </w:r>
    </w:p>
    <w:p w14:paraId="128C4F3D" w14:textId="6A1EB2A2" w:rsidR="00950088" w:rsidRPr="00AF4D94" w:rsidRDefault="00562261" w:rsidP="00FC3758">
      <w:pPr>
        <w:suppressAutoHyphens/>
        <w:spacing w:line="360" w:lineRule="auto"/>
        <w:ind w:firstLineChars="200" w:firstLine="420"/>
        <w:rPr>
          <w:rFonts w:ascii="Times New Roman" w:hAnsi="Times New Roman" w:cs="Times New Roman"/>
          <w:szCs w:val="21"/>
        </w:rPr>
      </w:pPr>
      <w:r w:rsidRPr="00AF4D94">
        <w:rPr>
          <w:rFonts w:ascii="Times New Roman" w:hAnsi="Times New Roman" w:cs="Times New Roman"/>
          <w:szCs w:val="21"/>
        </w:rPr>
        <w:t xml:space="preserve">Based on the results of acute BF toxicity tests, figure </w:t>
      </w:r>
      <w:r w:rsidR="00424B08">
        <w:rPr>
          <w:rFonts w:ascii="Times New Roman" w:hAnsi="Times New Roman" w:cs="Times New Roman"/>
          <w:szCs w:val="21"/>
        </w:rPr>
        <w:t>3</w:t>
      </w:r>
      <w:r w:rsidR="00424B08" w:rsidRPr="00AF4D94">
        <w:rPr>
          <w:rFonts w:ascii="Times New Roman" w:hAnsi="Times New Roman" w:cs="Times New Roman"/>
          <w:szCs w:val="21"/>
        </w:rPr>
        <w:t xml:space="preserve"> </w:t>
      </w:r>
      <w:r w:rsidRPr="00AF4D94">
        <w:rPr>
          <w:rFonts w:ascii="Times New Roman" w:hAnsi="Times New Roman" w:cs="Times New Roman"/>
          <w:szCs w:val="21"/>
        </w:rPr>
        <w:t xml:space="preserve">and Table </w:t>
      </w:r>
      <w:r w:rsidR="00FA6FE6">
        <w:rPr>
          <w:rFonts w:ascii="Times New Roman" w:hAnsi="Times New Roman" w:cs="Times New Roman"/>
          <w:szCs w:val="21"/>
        </w:rPr>
        <w:t>2</w:t>
      </w:r>
      <w:r w:rsidR="00FA6FE6" w:rsidRPr="00AF4D94">
        <w:rPr>
          <w:rFonts w:ascii="Times New Roman" w:hAnsi="Times New Roman" w:cs="Times New Roman"/>
          <w:szCs w:val="21"/>
        </w:rPr>
        <w:t xml:space="preserve"> </w:t>
      </w:r>
      <w:r w:rsidR="00AF4AFA" w:rsidRPr="00AF4D94">
        <w:rPr>
          <w:rFonts w:ascii="Times New Roman" w:hAnsi="Times New Roman" w:cs="Times New Roman"/>
          <w:szCs w:val="21"/>
        </w:rPr>
        <w:t>exhibited</w:t>
      </w:r>
      <w:r w:rsidRPr="00AF4D94">
        <w:rPr>
          <w:rFonts w:ascii="Times New Roman" w:hAnsi="Times New Roman" w:cs="Times New Roman"/>
          <w:szCs w:val="21"/>
        </w:rPr>
        <w:t xml:space="preserve"> the DNA damage effects of 1-week BF exposure on CGS larvae. Even t</w:t>
      </w:r>
      <w:r w:rsidRPr="00AF4D94">
        <w:rPr>
          <w:rFonts w:ascii="Times New Roman" w:eastAsia="宋体" w:hAnsi="Times New Roman" w:cs="Times New Roman"/>
          <w:szCs w:val="21"/>
        </w:rPr>
        <w:t xml:space="preserve">he </w:t>
      </w:r>
      <w:r w:rsidRPr="00AF4D94">
        <w:rPr>
          <w:rFonts w:ascii="Times New Roman" w:hAnsi="Times New Roman" w:cs="Times New Roman"/>
          <w:szCs w:val="21"/>
        </w:rPr>
        <w:t xml:space="preserve">concentration of 8-OHdG in the liver was lower than that in </w:t>
      </w:r>
      <w:r w:rsidRPr="00AF4D94">
        <w:rPr>
          <w:rFonts w:ascii="Times New Roman" w:eastAsia="宋体" w:hAnsi="Times New Roman" w:cs="Times New Roman"/>
          <w:szCs w:val="21"/>
        </w:rPr>
        <w:t xml:space="preserve">the brain and kidneys </w:t>
      </w:r>
      <w:r w:rsidRPr="00AF4D94">
        <w:rPr>
          <w:rFonts w:ascii="Times New Roman" w:hAnsi="Times New Roman" w:cs="Times New Roman"/>
          <w:szCs w:val="21"/>
        </w:rPr>
        <w:t>in all BF treatments</w:t>
      </w:r>
      <w:r w:rsidRPr="00AF4D94">
        <w:rPr>
          <w:rFonts w:ascii="Times New Roman" w:eastAsia="宋体" w:hAnsi="Times New Roman" w:cs="Times New Roman"/>
          <w:szCs w:val="21"/>
        </w:rPr>
        <w:t xml:space="preserve">, the </w:t>
      </w:r>
      <w:r w:rsidRPr="00AF4D94">
        <w:rPr>
          <w:rFonts w:ascii="Times New Roman" w:hAnsi="Times New Roman" w:cs="Times New Roman"/>
          <w:szCs w:val="21"/>
        </w:rPr>
        <w:t xml:space="preserve">8-OHdG </w:t>
      </w:r>
      <w:r w:rsidRPr="00AF4D94">
        <w:rPr>
          <w:rFonts w:ascii="Times New Roman" w:eastAsia="宋体" w:hAnsi="Times New Roman" w:cs="Times New Roman"/>
          <w:szCs w:val="21"/>
        </w:rPr>
        <w:t>concentration</w:t>
      </w:r>
      <w:r w:rsidRPr="00AF4D94">
        <w:rPr>
          <w:rFonts w:ascii="Times New Roman" w:hAnsi="Times New Roman" w:cs="Times New Roman"/>
          <w:szCs w:val="21"/>
        </w:rPr>
        <w:t>s</w:t>
      </w:r>
      <w:r w:rsidRPr="00AF4D94">
        <w:rPr>
          <w:rFonts w:ascii="Times New Roman" w:eastAsia="宋体" w:hAnsi="Times New Roman" w:cs="Times New Roman"/>
          <w:szCs w:val="21"/>
        </w:rPr>
        <w:t xml:space="preserve"> were </w:t>
      </w:r>
      <w:r w:rsidRPr="00AF4D94">
        <w:rPr>
          <w:rFonts w:ascii="Times New Roman" w:hAnsi="Times New Roman" w:cs="Times New Roman"/>
          <w:szCs w:val="21"/>
        </w:rPr>
        <w:t xml:space="preserve">significantly increased in </w:t>
      </w:r>
      <w:r w:rsidRPr="00AF4D94">
        <w:rPr>
          <w:rFonts w:ascii="Times New Roman" w:eastAsia="宋体" w:hAnsi="Times New Roman" w:cs="Times New Roman"/>
          <w:szCs w:val="21"/>
        </w:rPr>
        <w:t>the brain, liver, and kidney</w:t>
      </w:r>
      <w:r w:rsidRPr="00AF4D94">
        <w:rPr>
          <w:rFonts w:ascii="Times New Roman" w:hAnsi="Times New Roman" w:cs="Times New Roman"/>
          <w:szCs w:val="21"/>
        </w:rPr>
        <w:t xml:space="preserve"> with increasin</w:t>
      </w:r>
      <w:r w:rsidRPr="00AF4D94">
        <w:rPr>
          <w:rFonts w:ascii="Times New Roman" w:eastAsia="宋体" w:hAnsi="Times New Roman" w:cs="Times New Roman"/>
          <w:szCs w:val="21"/>
        </w:rPr>
        <w:t>g BF concentration (</w:t>
      </w:r>
      <w:r w:rsidR="00AF4D94" w:rsidRPr="00AF4D94">
        <w:rPr>
          <w:rFonts w:ascii="Times New Roman" w:eastAsia="宋体" w:hAnsi="Times New Roman" w:cs="Times New Roman"/>
          <w:i/>
          <w:iCs/>
          <w:szCs w:val="21"/>
        </w:rPr>
        <w:t>p</w:t>
      </w:r>
      <w:r w:rsidR="00AF4D94" w:rsidRPr="00AF4D94">
        <w:rPr>
          <w:rFonts w:ascii="Times New Roman" w:eastAsia="宋体" w:hAnsi="Times New Roman" w:cs="Times New Roman"/>
          <w:szCs w:val="21"/>
        </w:rPr>
        <w:t xml:space="preserve"> </w:t>
      </w:r>
      <w:r w:rsidRPr="00AF4D94">
        <w:rPr>
          <w:rFonts w:ascii="Times New Roman" w:eastAsia="宋体" w:hAnsi="Times New Roman" w:cs="Times New Roman"/>
          <w:szCs w:val="21"/>
        </w:rPr>
        <w:t>&lt;</w:t>
      </w:r>
      <w:r w:rsidR="00AF4D94" w:rsidRPr="00AF4D94">
        <w:rPr>
          <w:rFonts w:ascii="Times New Roman" w:eastAsia="宋体" w:hAnsi="Times New Roman" w:cs="Times New Roman"/>
          <w:szCs w:val="21"/>
        </w:rPr>
        <w:t xml:space="preserve"> </w:t>
      </w:r>
      <w:r w:rsidRPr="00AF4D94">
        <w:rPr>
          <w:rFonts w:ascii="Times New Roman" w:eastAsia="宋体" w:hAnsi="Times New Roman" w:cs="Times New Roman"/>
          <w:szCs w:val="21"/>
        </w:rPr>
        <w:t xml:space="preserve">0.05). </w:t>
      </w:r>
    </w:p>
    <w:p w14:paraId="02C704D8" w14:textId="36B7E584"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szCs w:val="21"/>
        </w:rPr>
        <w:t>Effects of BF on liver tissue of CGS</w:t>
      </w:r>
    </w:p>
    <w:p w14:paraId="281176F6" w14:textId="47ECCBAC" w:rsidR="00950088" w:rsidRDefault="00000000" w:rsidP="00FC3758">
      <w:pPr>
        <w:suppressAutoHyphens/>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Treated by BF</w:t>
      </w:r>
      <w:r>
        <w:rPr>
          <w:rFonts w:ascii="Times New Roman" w:hAnsi="Times New Roman" w:cs="Times New Roman"/>
          <w:szCs w:val="21"/>
        </w:rPr>
        <w:t>, the</w:t>
      </w:r>
      <w:r>
        <w:rPr>
          <w:rFonts w:ascii="Times New Roman" w:hAnsi="Times New Roman" w:cs="Times New Roman" w:hint="eastAsia"/>
          <w:szCs w:val="21"/>
        </w:rPr>
        <w:t xml:space="preserve"> liver tissue</w:t>
      </w:r>
      <w:r w:rsidR="00D26A21">
        <w:rPr>
          <w:rFonts w:ascii="Times New Roman" w:hAnsi="Times New Roman" w:cs="Times New Roman"/>
          <w:szCs w:val="21"/>
        </w:rPr>
        <w:t>,</w:t>
      </w:r>
      <w:r>
        <w:rPr>
          <w:rFonts w:ascii="Times New Roman" w:hAnsi="Times New Roman" w:cs="Times New Roman"/>
          <w:szCs w:val="21"/>
        </w:rPr>
        <w:t xml:space="preserve"> which showed the lowest toxicity effects based on observed </w:t>
      </w:r>
      <w:r>
        <w:rPr>
          <w:rFonts w:ascii="Times New Roman" w:hAnsi="Times New Roman" w:cs="Times New Roman"/>
          <w:szCs w:val="21"/>
        </w:rPr>
        <w:lastRenderedPageBreak/>
        <w:t xml:space="preserve">antioxidant parameters, was selected as a sensitive sample for further </w:t>
      </w:r>
      <w:r w:rsidR="00653A0D">
        <w:rPr>
          <w:rFonts w:ascii="Times New Roman" w:hAnsi="Times New Roman" w:cs="Times New Roman"/>
          <w:szCs w:val="21"/>
        </w:rPr>
        <w:t>study</w:t>
      </w:r>
      <w:r>
        <w:rPr>
          <w:rFonts w:ascii="Times New Roman" w:hAnsi="Times New Roman" w:cs="Times New Roman"/>
          <w:szCs w:val="21"/>
        </w:rPr>
        <w:t xml:space="preserve"> </w:t>
      </w:r>
      <w:r w:rsidR="00653A0D">
        <w:rPr>
          <w:rFonts w:ascii="Times New Roman" w:hAnsi="Times New Roman" w:cs="Times New Roman"/>
          <w:szCs w:val="21"/>
        </w:rPr>
        <w:t>on</w:t>
      </w:r>
      <w:r>
        <w:rPr>
          <w:rFonts w:ascii="Times New Roman" w:hAnsi="Times New Roman" w:cs="Times New Roman"/>
          <w:szCs w:val="21"/>
        </w:rPr>
        <w:t xml:space="preserve"> </w:t>
      </w:r>
      <w:r w:rsidR="002D32A8">
        <w:rPr>
          <w:rFonts w:ascii="Times New Roman" w:hAnsi="Times New Roman" w:cs="Times New Roman"/>
          <w:szCs w:val="21"/>
        </w:rPr>
        <w:t>BF</w:t>
      </w:r>
      <w:r>
        <w:rPr>
          <w:rFonts w:ascii="Times New Roman" w:hAnsi="Times New Roman" w:cs="Times New Roman"/>
          <w:szCs w:val="21"/>
        </w:rPr>
        <w:t xml:space="preserve"> toxicity effects. </w:t>
      </w:r>
      <w:r>
        <w:rPr>
          <w:rFonts w:ascii="Times New Roman" w:hAnsi="Times New Roman" w:cs="Times New Roman" w:hint="eastAsia"/>
          <w:szCs w:val="21"/>
        </w:rPr>
        <w:t xml:space="preserve">The pathological analysis of </w:t>
      </w:r>
      <w:r>
        <w:rPr>
          <w:rFonts w:ascii="Times New Roman" w:eastAsia="宋体" w:hAnsi="Times New Roman" w:cs="Times New Roman"/>
          <w:szCs w:val="21"/>
        </w:rPr>
        <w:t>the CGS liver tissue</w:t>
      </w:r>
      <w:r>
        <w:rPr>
          <w:rFonts w:ascii="Times New Roman" w:hAnsi="Times New Roman" w:cs="Times New Roman" w:hint="eastAsia"/>
          <w:szCs w:val="21"/>
        </w:rPr>
        <w:t xml:space="preserve"> exposed </w:t>
      </w:r>
      <w:r>
        <w:rPr>
          <w:rFonts w:ascii="Times New Roman" w:hAnsi="Times New Roman" w:cs="Times New Roman"/>
          <w:szCs w:val="21"/>
        </w:rPr>
        <w:t xml:space="preserve">to </w:t>
      </w:r>
      <w:r>
        <w:rPr>
          <w:rFonts w:ascii="Times New Roman" w:hAnsi="Times New Roman" w:cs="Times New Roman" w:hint="eastAsia"/>
          <w:szCs w:val="21"/>
        </w:rPr>
        <w:t>BF is shown in Fig</w:t>
      </w:r>
      <w:r>
        <w:rPr>
          <w:rFonts w:ascii="Times New Roman" w:hAnsi="Times New Roman" w:cs="Times New Roman"/>
          <w:szCs w:val="21"/>
        </w:rPr>
        <w:t>ure</w:t>
      </w:r>
      <w:r>
        <w:rPr>
          <w:rFonts w:ascii="Times New Roman" w:hAnsi="Times New Roman" w:cs="Times New Roman" w:hint="eastAsia"/>
          <w:szCs w:val="21"/>
        </w:rPr>
        <w:t xml:space="preserve"> </w:t>
      </w:r>
      <w:r w:rsidR="00424B08">
        <w:rPr>
          <w:rFonts w:ascii="Times New Roman" w:hAnsi="Times New Roman" w:cs="Times New Roman"/>
          <w:szCs w:val="21"/>
        </w:rPr>
        <w:t>4</w:t>
      </w:r>
      <w:r>
        <w:rPr>
          <w:rFonts w:ascii="Times New Roman" w:hAnsi="Times New Roman" w:cs="Times New Roman" w:hint="eastAsia"/>
          <w:szCs w:val="21"/>
        </w:rPr>
        <w:t xml:space="preserve">. </w:t>
      </w:r>
      <w:r>
        <w:rPr>
          <w:rFonts w:ascii="Times New Roman" w:hAnsi="Times New Roman" w:cs="Times New Roman"/>
          <w:szCs w:val="21"/>
        </w:rPr>
        <w:t>In</w:t>
      </w:r>
      <w:r>
        <w:rPr>
          <w:rFonts w:ascii="Times New Roman" w:hAnsi="Times New Roman" w:cs="Times New Roman" w:hint="eastAsia"/>
          <w:szCs w:val="21"/>
        </w:rPr>
        <w:t xml:space="preserve"> </w:t>
      </w:r>
      <w:r>
        <w:rPr>
          <w:rFonts w:ascii="Times New Roman" w:eastAsia="宋体" w:hAnsi="Times New Roman" w:cs="Times New Roman"/>
          <w:szCs w:val="21"/>
        </w:rPr>
        <w:t>the control group</w:t>
      </w:r>
      <w:r>
        <w:rPr>
          <w:rFonts w:ascii="Times New Roman" w:hAnsi="Times New Roman" w:cs="Times New Roman"/>
          <w:szCs w:val="21"/>
        </w:rPr>
        <w:t>, t</w:t>
      </w:r>
      <w:r>
        <w:rPr>
          <w:rFonts w:ascii="Times New Roman" w:hAnsi="Times New Roman" w:cs="Times New Roman" w:hint="eastAsia"/>
          <w:szCs w:val="21"/>
        </w:rPr>
        <w:t>he liver structure was norma</w:t>
      </w:r>
      <w:r>
        <w:rPr>
          <w:rFonts w:ascii="Times New Roman" w:hAnsi="Times New Roman" w:cs="Times New Roman"/>
          <w:szCs w:val="21"/>
        </w:rPr>
        <w:t>l</w:t>
      </w:r>
      <w:r>
        <w:rPr>
          <w:rFonts w:ascii="Times New Roman" w:hAnsi="Times New Roman" w:cs="Times New Roman" w:hint="eastAsia"/>
          <w:szCs w:val="21"/>
        </w:rPr>
        <w:t xml:space="preserve"> and red blood cells, hepatocytes</w:t>
      </w:r>
      <w:r>
        <w:rPr>
          <w:rFonts w:ascii="Times New Roman" w:eastAsia="宋体" w:hAnsi="Times New Roman" w:cs="Times New Roman"/>
          <w:szCs w:val="21"/>
        </w:rPr>
        <w:t xml:space="preserve"> and hepatic sinusoids were clearly </w:t>
      </w:r>
      <w:r>
        <w:rPr>
          <w:rFonts w:ascii="Times New Roman" w:hAnsi="Times New Roman" w:cs="Times New Roman" w:hint="eastAsia"/>
          <w:szCs w:val="21"/>
        </w:rPr>
        <w:t>visible. A few cells in the liver</w:t>
      </w:r>
      <w:r>
        <w:rPr>
          <w:rFonts w:ascii="Times New Roman" w:hAnsi="Times New Roman" w:cs="Times New Roman"/>
          <w:szCs w:val="21"/>
        </w:rPr>
        <w:t>s</w:t>
      </w:r>
      <w:r>
        <w:rPr>
          <w:rFonts w:ascii="Times New Roman" w:hAnsi="Times New Roman" w:cs="Times New Roman" w:hint="eastAsia"/>
          <w:szCs w:val="21"/>
        </w:rPr>
        <w:t xml:space="preserve"> </w:t>
      </w:r>
      <w:r>
        <w:rPr>
          <w:rFonts w:ascii="Times New Roman" w:hAnsi="Times New Roman" w:cs="Times New Roman"/>
          <w:szCs w:val="21"/>
        </w:rPr>
        <w:t>of</w:t>
      </w:r>
      <w:r>
        <w:rPr>
          <w:rFonts w:ascii="Times New Roman" w:hAnsi="Times New Roman" w:cs="Times New Roman" w:hint="eastAsia"/>
          <w:szCs w:val="21"/>
        </w:rPr>
        <w:t xml:space="preserve"> the 0.04</w:t>
      </w:r>
      <w:r>
        <w:rPr>
          <w:rFonts w:ascii="Times New Roman" w:hAnsi="Times New Roman" w:cs="Times New Roman"/>
          <w:szCs w:val="21"/>
        </w:rPr>
        <w:t xml:space="preserve"> µ</w:t>
      </w:r>
      <w:r>
        <w:rPr>
          <w:rFonts w:ascii="Times New Roman" w:hAnsi="Times New Roman" w:cs="Times New Roman" w:hint="eastAsia"/>
          <w:szCs w:val="21"/>
        </w:rPr>
        <w:t xml:space="preserve">g/L </w:t>
      </w:r>
      <w:r>
        <w:rPr>
          <w:rFonts w:ascii="Times New Roman" w:hAnsi="Times New Roman" w:cs="Times New Roman"/>
          <w:szCs w:val="21"/>
        </w:rPr>
        <w:t>BF exposed CGS</w:t>
      </w:r>
      <w:r>
        <w:rPr>
          <w:rFonts w:ascii="Times New Roman" w:hAnsi="Times New Roman" w:cs="Times New Roman" w:hint="eastAsia"/>
          <w:szCs w:val="21"/>
        </w:rPr>
        <w:t xml:space="preserve"> were enlarged, accompanied by vacuolation and some dilated and congested hepatic sinusoids. In the </w:t>
      </w:r>
      <w:r>
        <w:rPr>
          <w:rFonts w:ascii="Times New Roman" w:hAnsi="Times New Roman" w:cs="Times New Roman"/>
          <w:szCs w:val="21"/>
        </w:rPr>
        <w:t xml:space="preserve">CGS </w:t>
      </w:r>
      <w:r>
        <w:rPr>
          <w:rFonts w:ascii="Times New Roman" w:hAnsi="Times New Roman" w:cs="Times New Roman" w:hint="eastAsia"/>
          <w:szCs w:val="21"/>
        </w:rPr>
        <w:t>larvae exposed to 4</w:t>
      </w:r>
      <w:r>
        <w:rPr>
          <w:rFonts w:ascii="Times New Roman" w:hAnsi="Times New Roman" w:cs="Times New Roman"/>
          <w:szCs w:val="21"/>
        </w:rPr>
        <w:t xml:space="preserve"> µ</w:t>
      </w:r>
      <w:r>
        <w:rPr>
          <w:rFonts w:ascii="Times New Roman" w:hAnsi="Times New Roman" w:cs="Times New Roman" w:hint="eastAsia"/>
          <w:szCs w:val="21"/>
        </w:rPr>
        <w:t xml:space="preserve">g/L </w:t>
      </w:r>
      <w:r>
        <w:rPr>
          <w:rFonts w:ascii="Times New Roman" w:hAnsi="Times New Roman" w:cs="Times New Roman"/>
          <w:szCs w:val="21"/>
        </w:rPr>
        <w:t>BF</w:t>
      </w:r>
      <w:r>
        <w:rPr>
          <w:rFonts w:ascii="Times New Roman" w:hAnsi="Times New Roman" w:cs="Times New Roman" w:hint="eastAsia"/>
          <w:szCs w:val="21"/>
        </w:rPr>
        <w:t xml:space="preserve">, the liver exhibited </w:t>
      </w:r>
      <w:r>
        <w:rPr>
          <w:rFonts w:ascii="Times New Roman" w:eastAsia="宋体" w:hAnsi="Times New Roman" w:cs="Times New Roman"/>
          <w:szCs w:val="21"/>
        </w:rPr>
        <w:t>an apparent nuclear shift and atrophy; hepatomegaly increased</w:t>
      </w:r>
      <w:r>
        <w:rPr>
          <w:rFonts w:ascii="Times New Roman" w:hAnsi="Times New Roman" w:cs="Times New Roman" w:hint="eastAsia"/>
          <w:szCs w:val="21"/>
        </w:rPr>
        <w:t xml:space="preserve">, there were larger vacuoles, and the boundary between hepatocytes </w:t>
      </w:r>
      <w:r>
        <w:rPr>
          <w:rFonts w:ascii="Times New Roman" w:hAnsi="Times New Roman" w:cs="Times New Roman"/>
          <w:szCs w:val="21"/>
        </w:rPr>
        <w:t>was</w:t>
      </w:r>
      <w:r>
        <w:rPr>
          <w:rFonts w:ascii="Times New Roman" w:hAnsi="Times New Roman" w:cs="Times New Roman" w:hint="eastAsia"/>
          <w:szCs w:val="21"/>
        </w:rPr>
        <w:t xml:space="preserve"> blurred.</w:t>
      </w:r>
    </w:p>
    <w:p w14:paraId="7D73B911" w14:textId="77777777"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hint="eastAsia"/>
          <w:szCs w:val="21"/>
        </w:rPr>
        <w:t>Transcriptome sequencing and sequence assembly</w:t>
      </w:r>
    </w:p>
    <w:p w14:paraId="5B8FC1E7" w14:textId="59C69B2C" w:rsidR="00950088" w:rsidRDefault="00B331AD" w:rsidP="00FC3758">
      <w:pPr>
        <w:suppressAutoHyphens/>
        <w:spacing w:line="360" w:lineRule="auto"/>
        <w:ind w:firstLineChars="200" w:firstLine="420"/>
        <w:rPr>
          <w:rFonts w:ascii="Times New Roman" w:hAnsi="Times New Roman" w:cs="Times New Roman"/>
          <w:szCs w:val="21"/>
        </w:rPr>
      </w:pPr>
      <w:r>
        <w:rPr>
          <w:rFonts w:ascii="Times New Roman" w:hAnsi="Times New Roman" w:cs="Times New Roman"/>
          <w:szCs w:val="21"/>
        </w:rPr>
        <w:t>Compared with brain and kidney, the</w:t>
      </w:r>
      <w:r>
        <w:rPr>
          <w:rFonts w:ascii="Times New Roman" w:hAnsi="Times New Roman" w:cs="Times New Roman" w:hint="eastAsia"/>
          <w:szCs w:val="21"/>
        </w:rPr>
        <w:t xml:space="preserve"> liver tissue</w:t>
      </w:r>
      <w:r>
        <w:rPr>
          <w:rFonts w:ascii="Times New Roman" w:hAnsi="Times New Roman" w:cs="Times New Roman"/>
          <w:szCs w:val="21"/>
        </w:rPr>
        <w:t xml:space="preserve"> was selected as a sensitive sample in present study for</w:t>
      </w:r>
      <w:r w:rsidR="00653A0D">
        <w:rPr>
          <w:rFonts w:ascii="Times New Roman" w:hAnsi="Times New Roman" w:cs="Times New Roman"/>
          <w:szCs w:val="21"/>
        </w:rPr>
        <w:t xml:space="preserve"> further study on BF toxicity effects</w:t>
      </w:r>
      <w:r>
        <w:rPr>
          <w:rFonts w:ascii="Times New Roman" w:hAnsi="Times New Roman" w:cs="Times New Roman"/>
          <w:szCs w:val="21"/>
        </w:rPr>
        <w:t xml:space="preserve">. Table </w:t>
      </w:r>
      <w:r w:rsidR="00BD07C2">
        <w:rPr>
          <w:rFonts w:ascii="Times New Roman" w:hAnsi="Times New Roman" w:cs="Times New Roman"/>
          <w:szCs w:val="21"/>
        </w:rPr>
        <w:t>3</w:t>
      </w:r>
      <w:r>
        <w:rPr>
          <w:rFonts w:ascii="Times New Roman" w:hAnsi="Times New Roman" w:cs="Times New Roman"/>
          <w:szCs w:val="21"/>
        </w:rPr>
        <w:t xml:space="preserve"> presents the cDNA libraries constructed from liver samples of the control and BF</w:t>
      </w:r>
      <w:r w:rsidR="00217A47">
        <w:rPr>
          <w:rFonts w:ascii="Times New Roman" w:hAnsi="Times New Roman" w:cs="Times New Roman"/>
          <w:szCs w:val="21"/>
        </w:rPr>
        <w:t xml:space="preserve"> </w:t>
      </w:r>
      <w:r>
        <w:rPr>
          <w:rFonts w:ascii="Times New Roman" w:hAnsi="Times New Roman" w:cs="Times New Roman"/>
          <w:szCs w:val="21"/>
        </w:rPr>
        <w:t>treat</w:t>
      </w:r>
      <w:r w:rsidR="00403EFE">
        <w:rPr>
          <w:rFonts w:ascii="Times New Roman" w:hAnsi="Times New Roman" w:cs="Times New Roman"/>
          <w:szCs w:val="21"/>
        </w:rPr>
        <w:t>ment</w:t>
      </w:r>
      <w:r>
        <w:rPr>
          <w:rFonts w:ascii="Times New Roman" w:hAnsi="Times New Roman" w:cs="Times New Roman"/>
          <w:szCs w:val="21"/>
        </w:rPr>
        <w:t xml:space="preserve">s. </w:t>
      </w:r>
      <w:r>
        <w:rPr>
          <w:rFonts w:ascii="Times New Roman" w:hAnsi="Times New Roman" w:cs="Times New Roman" w:hint="eastAsia"/>
          <w:szCs w:val="21"/>
        </w:rPr>
        <w:t>After filtering the low mass readings, 593.22</w:t>
      </w:r>
      <w:r>
        <w:rPr>
          <w:rFonts w:ascii="Times New Roman" w:hAnsi="Times New Roman" w:cs="Times New Roman"/>
          <w:szCs w:val="21"/>
        </w:rPr>
        <w:t>–</w:t>
      </w:r>
      <w:r>
        <w:rPr>
          <w:rFonts w:ascii="Times New Roman" w:hAnsi="Times New Roman" w:cs="Times New Roman" w:hint="eastAsia"/>
          <w:szCs w:val="21"/>
        </w:rPr>
        <w:t xml:space="preserve">865.21 million clean reads were obtained with Q20 and Q30 </w:t>
      </w:r>
      <w:r>
        <w:rPr>
          <w:rFonts w:ascii="Times New Roman" w:hAnsi="Times New Roman" w:cs="Times New Roman"/>
          <w:szCs w:val="21"/>
        </w:rPr>
        <w:t>values of</w:t>
      </w:r>
      <w:r>
        <w:rPr>
          <w:rFonts w:ascii="Times New Roman" w:hAnsi="Times New Roman" w:cs="Times New Roman" w:hint="eastAsia"/>
          <w:szCs w:val="21"/>
        </w:rPr>
        <w:t xml:space="preserve"> 97.28% and 92.63%, respectively. The GC content ranged from 47.44</w:t>
      </w:r>
      <w:r>
        <w:rPr>
          <w:rFonts w:ascii="Times New Roman" w:hAnsi="Times New Roman" w:cs="Times New Roman"/>
          <w:szCs w:val="21"/>
        </w:rPr>
        <w:t>–</w:t>
      </w:r>
      <w:r>
        <w:rPr>
          <w:rFonts w:ascii="Times New Roman" w:hAnsi="Times New Roman" w:cs="Times New Roman" w:hint="eastAsia"/>
          <w:szCs w:val="21"/>
        </w:rPr>
        <w:t>48.96</w:t>
      </w:r>
      <w:r>
        <w:rPr>
          <w:rFonts w:ascii="Times New Roman" w:hAnsi="Times New Roman" w:cs="Times New Roman"/>
          <w:szCs w:val="21"/>
        </w:rPr>
        <w:t>%</w:t>
      </w:r>
      <w:r>
        <w:rPr>
          <w:rFonts w:ascii="Times New Roman" w:hAnsi="Times New Roman" w:cs="Times New Roman" w:hint="eastAsia"/>
          <w:szCs w:val="21"/>
        </w:rPr>
        <w:t>, indicating a good sequencing quality.</w:t>
      </w:r>
    </w:p>
    <w:p w14:paraId="350E9728" w14:textId="77777777"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szCs w:val="21"/>
        </w:rPr>
        <w:t>Annotation and classification of functional genes</w:t>
      </w:r>
    </w:p>
    <w:p w14:paraId="0BC9A403" w14:textId="6FC31812" w:rsidR="00950088" w:rsidRDefault="00000000" w:rsidP="00FC3758">
      <w:pPr>
        <w:suppressAutoHyphens/>
        <w:spacing w:line="360" w:lineRule="auto"/>
        <w:ind w:firstLineChars="200" w:firstLine="420"/>
        <w:rPr>
          <w:rFonts w:ascii="Times New Roman" w:hAnsi="Times New Roman" w:cs="Times New Roman"/>
          <w:szCs w:val="21"/>
        </w:rPr>
      </w:pPr>
      <w:r>
        <w:rPr>
          <w:rFonts w:ascii="Times New Roman" w:hAnsi="Times New Roman" w:cs="Times New Roman" w:hint="eastAsia"/>
          <w:szCs w:val="21"/>
        </w:rPr>
        <w:t xml:space="preserve">To </w:t>
      </w:r>
      <w:r w:rsidR="00783B4B">
        <w:rPr>
          <w:rFonts w:ascii="Times New Roman" w:hAnsi="Times New Roman" w:cs="Times New Roman"/>
          <w:szCs w:val="21"/>
        </w:rPr>
        <w:t>clarify</w:t>
      </w:r>
      <w:r>
        <w:rPr>
          <w:rFonts w:ascii="Times New Roman" w:hAnsi="Times New Roman" w:cs="Times New Roman" w:hint="eastAsia"/>
          <w:szCs w:val="21"/>
        </w:rPr>
        <w:t xml:space="preserve"> gene function in </w:t>
      </w:r>
      <w:r w:rsidR="0033392B">
        <w:rPr>
          <w:rFonts w:ascii="Times New Roman" w:hAnsi="Times New Roman" w:cs="Times New Roman" w:hint="eastAsia"/>
          <w:szCs w:val="21"/>
        </w:rPr>
        <w:t>liver</w:t>
      </w:r>
      <w:r w:rsidR="0033392B">
        <w:rPr>
          <w:rFonts w:ascii="Times New Roman" w:hAnsi="Times New Roman" w:cs="Times New Roman"/>
          <w:szCs w:val="21"/>
        </w:rPr>
        <w:t xml:space="preserve"> </w:t>
      </w:r>
      <w:r w:rsidR="0033392B">
        <w:rPr>
          <w:rFonts w:ascii="Times New Roman" w:hAnsi="Times New Roman" w:cs="Times New Roman" w:hint="eastAsia"/>
          <w:szCs w:val="21"/>
        </w:rPr>
        <w:t>of</w:t>
      </w:r>
      <w:r w:rsidR="0033392B">
        <w:rPr>
          <w:rFonts w:ascii="Times New Roman" w:hAnsi="Times New Roman" w:cs="Times New Roman"/>
          <w:szCs w:val="21"/>
        </w:rPr>
        <w:t xml:space="preserve"> </w:t>
      </w:r>
      <w:r>
        <w:rPr>
          <w:rFonts w:ascii="Times New Roman" w:hAnsi="Times New Roman" w:cs="Times New Roman" w:hint="eastAsia"/>
          <w:szCs w:val="21"/>
        </w:rPr>
        <w:t>CGS larvae, genes</w:t>
      </w:r>
      <w:r>
        <w:rPr>
          <w:rFonts w:ascii="Times New Roman" w:hAnsi="Times New Roman" w:cs="Times New Roman"/>
          <w:szCs w:val="21"/>
        </w:rPr>
        <w:t xml:space="preserve"> were annotated</w:t>
      </w:r>
      <w:r>
        <w:rPr>
          <w:rFonts w:ascii="Times New Roman" w:hAnsi="Times New Roman" w:cs="Times New Roman" w:hint="eastAsia"/>
          <w:szCs w:val="21"/>
        </w:rPr>
        <w:t xml:space="preserve"> in four databases (NR, </w:t>
      </w:r>
      <w:proofErr w:type="spellStart"/>
      <w:r>
        <w:rPr>
          <w:rFonts w:ascii="Times New Roman" w:hAnsi="Times New Roman" w:cs="Times New Roman" w:hint="eastAsia"/>
          <w:szCs w:val="21"/>
        </w:rPr>
        <w:t>SwissProt</w:t>
      </w:r>
      <w:proofErr w:type="spellEnd"/>
      <w:r>
        <w:rPr>
          <w:rFonts w:ascii="Times New Roman" w:hAnsi="Times New Roman" w:cs="Times New Roman" w:hint="eastAsia"/>
          <w:szCs w:val="21"/>
        </w:rPr>
        <w:t xml:space="preserve">, KEGG, and KOG) </w:t>
      </w:r>
      <w:r w:rsidR="00750206">
        <w:rPr>
          <w:rFonts w:ascii="Times New Roman" w:hAnsi="Times New Roman" w:cs="Times New Roman"/>
          <w:szCs w:val="21"/>
        </w:rPr>
        <w:t>(</w:t>
      </w:r>
      <w:r>
        <w:rPr>
          <w:rFonts w:ascii="Times New Roman" w:hAnsi="Times New Roman" w:cs="Times New Roman" w:hint="eastAsia"/>
          <w:szCs w:val="21"/>
        </w:rPr>
        <w:t xml:space="preserve">Table </w:t>
      </w:r>
      <w:r w:rsidR="00BD07C2">
        <w:rPr>
          <w:rFonts w:ascii="Times New Roman" w:hAnsi="Times New Roman" w:cs="Times New Roman"/>
          <w:szCs w:val="21"/>
        </w:rPr>
        <w:t>4</w:t>
      </w:r>
      <w:r w:rsidR="00750206">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A t</w:t>
      </w:r>
      <w:r>
        <w:rPr>
          <w:rFonts w:ascii="Times New Roman" w:hAnsi="Times New Roman" w:cs="Times New Roman" w:hint="eastAsia"/>
          <w:szCs w:val="21"/>
        </w:rPr>
        <w:t>otal</w:t>
      </w:r>
      <w:r>
        <w:rPr>
          <w:rFonts w:ascii="Times New Roman" w:hAnsi="Times New Roman" w:cs="Times New Roman"/>
          <w:szCs w:val="21"/>
        </w:rPr>
        <w:t xml:space="preserve"> of </w:t>
      </w:r>
      <w:r>
        <w:rPr>
          <w:rFonts w:ascii="Times New Roman" w:hAnsi="Times New Roman" w:cs="Times New Roman" w:hint="eastAsia"/>
          <w:szCs w:val="21"/>
        </w:rPr>
        <w:t xml:space="preserve">87,958 </w:t>
      </w:r>
      <w:proofErr w:type="spellStart"/>
      <w:r>
        <w:rPr>
          <w:rFonts w:ascii="Times New Roman" w:hAnsi="Times New Roman" w:cs="Times New Roman" w:hint="eastAsia"/>
          <w:szCs w:val="21"/>
        </w:rPr>
        <w:t>unigenes</w:t>
      </w:r>
      <w:proofErr w:type="spellEnd"/>
      <w:r>
        <w:rPr>
          <w:rFonts w:ascii="Times New Roman" w:hAnsi="Times New Roman" w:cs="Times New Roman" w:hint="eastAsia"/>
          <w:szCs w:val="21"/>
        </w:rPr>
        <w:t xml:space="preserve"> were annotated in th</w:t>
      </w:r>
      <w:r w:rsidR="00131B58">
        <w:rPr>
          <w:rFonts w:ascii="Times New Roman" w:hAnsi="Times New Roman" w:cs="Times New Roman"/>
          <w:szCs w:val="21"/>
        </w:rPr>
        <w:t>ese</w:t>
      </w:r>
      <w:r>
        <w:rPr>
          <w:rFonts w:ascii="Times New Roman" w:hAnsi="Times New Roman" w:cs="Times New Roman" w:hint="eastAsia"/>
          <w:szCs w:val="21"/>
        </w:rPr>
        <w:t xml:space="preserve"> four major databases, of which 56,230 genes (63.93%) were annotated to at least one gene in all databases.</w:t>
      </w:r>
      <w:r>
        <w:rPr>
          <w:rFonts w:ascii="Times New Roman" w:hAnsi="Times New Roman" w:cs="Times New Roman"/>
          <w:szCs w:val="21"/>
        </w:rPr>
        <w:t xml:space="preserve"> A total of</w:t>
      </w:r>
      <w:r>
        <w:rPr>
          <w:rFonts w:ascii="Times New Roman" w:hAnsi="Times New Roman" w:cs="Times New Roman" w:hint="eastAsia"/>
          <w:szCs w:val="21"/>
        </w:rPr>
        <w:t xml:space="preserve"> 30</w:t>
      </w:r>
      <w:r>
        <w:rPr>
          <w:rFonts w:ascii="Times New Roman" w:hAnsi="Times New Roman" w:cs="Times New Roman"/>
          <w:szCs w:val="21"/>
        </w:rPr>
        <w:t>,</w:t>
      </w:r>
      <w:r>
        <w:rPr>
          <w:rFonts w:ascii="Times New Roman" w:hAnsi="Times New Roman" w:cs="Times New Roman" w:hint="eastAsia"/>
          <w:szCs w:val="21"/>
        </w:rPr>
        <w:t>931, 29</w:t>
      </w:r>
      <w:r>
        <w:rPr>
          <w:rFonts w:ascii="Times New Roman" w:hAnsi="Times New Roman" w:cs="Times New Roman"/>
          <w:szCs w:val="21"/>
        </w:rPr>
        <w:t>,</w:t>
      </w:r>
      <w:r>
        <w:rPr>
          <w:rFonts w:ascii="Times New Roman" w:hAnsi="Times New Roman" w:cs="Times New Roman" w:hint="eastAsia"/>
          <w:szCs w:val="21"/>
        </w:rPr>
        <w:t>913, 15</w:t>
      </w:r>
      <w:r>
        <w:rPr>
          <w:rFonts w:ascii="Times New Roman" w:hAnsi="Times New Roman" w:cs="Times New Roman"/>
          <w:szCs w:val="21"/>
        </w:rPr>
        <w:t>,</w:t>
      </w:r>
      <w:r>
        <w:rPr>
          <w:rFonts w:ascii="Times New Roman" w:hAnsi="Times New Roman" w:cs="Times New Roman" w:hint="eastAsia"/>
          <w:szCs w:val="21"/>
        </w:rPr>
        <w:t>458, and 19</w:t>
      </w:r>
      <w:r>
        <w:rPr>
          <w:rFonts w:ascii="Times New Roman" w:hAnsi="Times New Roman" w:cs="Times New Roman"/>
          <w:szCs w:val="21"/>
        </w:rPr>
        <w:t>,</w:t>
      </w:r>
      <w:r>
        <w:rPr>
          <w:rFonts w:ascii="Times New Roman" w:hAnsi="Times New Roman" w:cs="Times New Roman" w:hint="eastAsia"/>
          <w:szCs w:val="21"/>
        </w:rPr>
        <w:t>999 genes were</w:t>
      </w:r>
      <w:r w:rsidR="00131B58" w:rsidRPr="00131B58">
        <w:rPr>
          <w:rFonts w:ascii="Times New Roman" w:hAnsi="Times New Roman" w:cs="Times New Roman" w:hint="eastAsia"/>
          <w:szCs w:val="21"/>
        </w:rPr>
        <w:t xml:space="preserve"> </w:t>
      </w:r>
      <w:r w:rsidR="00131B58">
        <w:rPr>
          <w:rFonts w:ascii="Times New Roman" w:hAnsi="Times New Roman" w:cs="Times New Roman" w:hint="eastAsia"/>
          <w:szCs w:val="21"/>
        </w:rPr>
        <w:t>respectively</w:t>
      </w:r>
      <w:r>
        <w:rPr>
          <w:rFonts w:ascii="Times New Roman" w:hAnsi="Times New Roman" w:cs="Times New Roman" w:hint="eastAsia"/>
          <w:szCs w:val="21"/>
        </w:rPr>
        <w:t xml:space="preserve"> annotated in the NR, KEGG, KOG, and </w:t>
      </w:r>
      <w:proofErr w:type="spellStart"/>
      <w:r>
        <w:rPr>
          <w:rFonts w:ascii="Times New Roman" w:hAnsi="Times New Roman" w:cs="Times New Roman" w:hint="eastAsia"/>
          <w:szCs w:val="21"/>
        </w:rPr>
        <w:t>Swiss</w:t>
      </w:r>
      <w:r>
        <w:rPr>
          <w:rFonts w:ascii="Times New Roman" w:hAnsi="Times New Roman" w:cs="Times New Roman"/>
          <w:szCs w:val="21"/>
        </w:rPr>
        <w:t>P</w:t>
      </w:r>
      <w:r>
        <w:rPr>
          <w:rFonts w:ascii="Times New Roman" w:hAnsi="Times New Roman" w:cs="Times New Roman" w:hint="eastAsia"/>
          <w:szCs w:val="21"/>
        </w:rPr>
        <w:t>rot</w:t>
      </w:r>
      <w:proofErr w:type="spellEnd"/>
      <w:r>
        <w:rPr>
          <w:rFonts w:ascii="Times New Roman" w:hAnsi="Times New Roman" w:cs="Times New Roman" w:hint="eastAsia"/>
          <w:szCs w:val="21"/>
        </w:rPr>
        <w:t xml:space="preserve"> databases, accounting for 35.17, 34.01, 17.57, and 22.74% of the genes. A total of 31</w:t>
      </w:r>
      <w:r>
        <w:rPr>
          <w:rFonts w:ascii="Times New Roman" w:hAnsi="Times New Roman" w:cs="Times New Roman"/>
          <w:szCs w:val="21"/>
        </w:rPr>
        <w:t>,</w:t>
      </w:r>
      <w:r>
        <w:rPr>
          <w:rFonts w:ascii="Times New Roman" w:hAnsi="Times New Roman" w:cs="Times New Roman" w:hint="eastAsia"/>
          <w:szCs w:val="21"/>
        </w:rPr>
        <w:t>728 genes were annotated in all databases, accounting for 36.07% of the total</w:t>
      </w:r>
      <w:r>
        <w:rPr>
          <w:rFonts w:ascii="Times New Roman" w:eastAsia="宋体" w:hAnsi="Times New Roman" w:cs="Times New Roman"/>
          <w:szCs w:val="21"/>
        </w:rPr>
        <w:t xml:space="preserve"> genes.</w:t>
      </w:r>
    </w:p>
    <w:p w14:paraId="51A5CFB2" w14:textId="0FFA94B7" w:rsidR="00950088" w:rsidRDefault="00000000" w:rsidP="00FC3758">
      <w:pPr>
        <w:pStyle w:val="af"/>
        <w:numPr>
          <w:ilvl w:val="1"/>
          <w:numId w:val="1"/>
        </w:numPr>
        <w:suppressAutoHyphens/>
        <w:spacing w:line="360" w:lineRule="auto"/>
        <w:ind w:firstLineChars="0"/>
        <w:rPr>
          <w:rFonts w:ascii="Times New Roman" w:hAnsi="Times New Roman" w:cs="Times New Roman"/>
          <w:szCs w:val="21"/>
        </w:rPr>
      </w:pPr>
      <w:r>
        <w:rPr>
          <w:rFonts w:ascii="Times New Roman" w:hAnsi="Times New Roman" w:cs="Times New Roman"/>
          <w:szCs w:val="21"/>
        </w:rPr>
        <w:t>Effects of BF on gene expression and functional enrichment of CGS larvae</w:t>
      </w:r>
    </w:p>
    <w:p w14:paraId="611DB9E0" w14:textId="4F87A08A" w:rsidR="00950088" w:rsidRDefault="00000000" w:rsidP="00FC3758">
      <w:pPr>
        <w:pStyle w:val="a9"/>
        <w:suppressAutoHyphens/>
        <w:spacing w:before="0" w:beforeAutospacing="0" w:after="0" w:afterAutospacing="0" w:line="360" w:lineRule="auto"/>
        <w:ind w:firstLineChars="200" w:firstLine="420"/>
        <w:jc w:val="both"/>
        <w:rPr>
          <w:rFonts w:ascii="Times New Roman" w:hAnsi="Times New Roman" w:cs="Times New Roman"/>
          <w:sz w:val="21"/>
          <w:szCs w:val="21"/>
        </w:rPr>
      </w:pPr>
      <w:r>
        <w:rPr>
          <w:rFonts w:ascii="Times New Roman" w:hAnsi="Times New Roman" w:cs="Times New Roman"/>
          <w:kern w:val="2"/>
          <w:sz w:val="21"/>
          <w:szCs w:val="21"/>
        </w:rPr>
        <w:t>P</w:t>
      </w:r>
      <w:r>
        <w:rPr>
          <w:rFonts w:ascii="Times New Roman" w:hAnsi="Times New Roman" w:cs="Times New Roman" w:hint="eastAsia"/>
          <w:kern w:val="2"/>
          <w:sz w:val="21"/>
          <w:szCs w:val="21"/>
        </w:rPr>
        <w:t xml:space="preserve">oisson distribution analysis </w:t>
      </w:r>
      <w:r>
        <w:rPr>
          <w:rFonts w:ascii="Times New Roman" w:hAnsi="Times New Roman" w:cs="Times New Roman"/>
          <w:kern w:val="2"/>
          <w:sz w:val="21"/>
          <w:szCs w:val="21"/>
        </w:rPr>
        <w:t xml:space="preserve">was used </w:t>
      </w:r>
      <w:r>
        <w:rPr>
          <w:rFonts w:ascii="Times New Roman" w:hAnsi="Times New Roman" w:cs="Times New Roman" w:hint="eastAsia"/>
          <w:kern w:val="2"/>
          <w:sz w:val="21"/>
          <w:szCs w:val="21"/>
        </w:rPr>
        <w:t>to identify DEG</w:t>
      </w:r>
      <w:r>
        <w:rPr>
          <w:rFonts w:ascii="Times New Roman" w:hAnsi="Times New Roman" w:cs="Times New Roman"/>
          <w:kern w:val="2"/>
          <w:sz w:val="21"/>
          <w:szCs w:val="21"/>
        </w:rPr>
        <w:t>s</w:t>
      </w:r>
      <w:r>
        <w:rPr>
          <w:rFonts w:ascii="Times New Roman" w:hAnsi="Times New Roman" w:cs="Times New Roman" w:hint="eastAsia"/>
          <w:kern w:val="2"/>
          <w:sz w:val="21"/>
          <w:szCs w:val="21"/>
        </w:rPr>
        <w:t xml:space="preserve"> with FDR</w:t>
      </w:r>
      <w:r>
        <w:rPr>
          <w:rFonts w:ascii="Times New Roman" w:hAnsi="Times New Roman" w:cs="Times New Roman"/>
          <w:kern w:val="2"/>
          <w:sz w:val="21"/>
          <w:szCs w:val="21"/>
        </w:rPr>
        <w:t xml:space="preserve"> </w:t>
      </w:r>
      <w:r>
        <w:rPr>
          <w:rFonts w:ascii="Times New Roman" w:hAnsi="Times New Roman" w:cs="Times New Roman" w:hint="eastAsia"/>
          <w:kern w:val="2"/>
          <w:sz w:val="21"/>
          <w:szCs w:val="21"/>
        </w:rPr>
        <w:t>≤</w:t>
      </w:r>
      <w:r>
        <w:rPr>
          <w:rFonts w:ascii="Times New Roman" w:hAnsi="Times New Roman" w:cs="Times New Roman"/>
          <w:kern w:val="2"/>
          <w:sz w:val="21"/>
          <w:szCs w:val="21"/>
        </w:rPr>
        <w:t>0</w:t>
      </w:r>
      <w:r>
        <w:rPr>
          <w:rFonts w:ascii="Times New Roman" w:hAnsi="Times New Roman" w:cs="Times New Roman" w:hint="eastAsia"/>
          <w:kern w:val="2"/>
          <w:sz w:val="21"/>
          <w:szCs w:val="21"/>
        </w:rPr>
        <w:t>.001 and absolute log2 ratio &gt;1. A total of 66 and 115 DEG</w:t>
      </w:r>
      <w:r>
        <w:rPr>
          <w:rFonts w:ascii="Times New Roman" w:hAnsi="Times New Roman" w:cs="Times New Roman"/>
          <w:kern w:val="2"/>
          <w:sz w:val="21"/>
          <w:szCs w:val="21"/>
        </w:rPr>
        <w:t>s</w:t>
      </w:r>
      <w:r>
        <w:rPr>
          <w:rFonts w:ascii="Times New Roman" w:hAnsi="Times New Roman" w:cs="Times New Roman" w:hint="eastAsia"/>
          <w:kern w:val="2"/>
          <w:sz w:val="21"/>
          <w:szCs w:val="21"/>
        </w:rPr>
        <w:t xml:space="preserve"> were</w:t>
      </w:r>
      <w:r w:rsidR="00131B58" w:rsidRPr="00131B58">
        <w:rPr>
          <w:rFonts w:ascii="Times New Roman" w:hAnsi="Times New Roman" w:cs="Times New Roman" w:hint="eastAsia"/>
          <w:kern w:val="2"/>
          <w:sz w:val="21"/>
          <w:szCs w:val="21"/>
        </w:rPr>
        <w:t xml:space="preserve"> </w:t>
      </w:r>
      <w:r w:rsidR="00131B58">
        <w:rPr>
          <w:rFonts w:ascii="Times New Roman" w:hAnsi="Times New Roman" w:cs="Times New Roman" w:hint="eastAsia"/>
          <w:kern w:val="2"/>
          <w:sz w:val="21"/>
          <w:szCs w:val="21"/>
        </w:rPr>
        <w:t>respectively</w:t>
      </w:r>
      <w:r>
        <w:rPr>
          <w:rFonts w:ascii="Times New Roman" w:hAnsi="Times New Roman" w:cs="Times New Roman" w:hint="eastAsia"/>
          <w:kern w:val="2"/>
          <w:sz w:val="21"/>
          <w:szCs w:val="21"/>
        </w:rPr>
        <w:t xml:space="preserve"> identified in the 0.04</w:t>
      </w:r>
      <w:r>
        <w:rPr>
          <w:rFonts w:ascii="Times New Roman" w:hAnsi="Times New Roman" w:cs="Times New Roman"/>
          <w:kern w:val="2"/>
          <w:sz w:val="21"/>
          <w:szCs w:val="21"/>
        </w:rPr>
        <w:t xml:space="preserve"> µ</w:t>
      </w:r>
      <w:r>
        <w:rPr>
          <w:rFonts w:ascii="Times New Roman" w:hAnsi="Times New Roman" w:cs="Times New Roman" w:hint="eastAsia"/>
          <w:kern w:val="2"/>
          <w:sz w:val="21"/>
          <w:szCs w:val="21"/>
        </w:rPr>
        <w:t>g/L and 4</w:t>
      </w:r>
      <w:r>
        <w:rPr>
          <w:rFonts w:ascii="Times New Roman" w:hAnsi="Times New Roman" w:cs="Times New Roman"/>
          <w:kern w:val="2"/>
          <w:sz w:val="21"/>
          <w:szCs w:val="21"/>
        </w:rPr>
        <w:t xml:space="preserve"> µ</w:t>
      </w:r>
      <w:r>
        <w:rPr>
          <w:rFonts w:ascii="Times New Roman" w:hAnsi="Times New Roman" w:cs="Times New Roman" w:hint="eastAsia"/>
          <w:kern w:val="2"/>
          <w:sz w:val="21"/>
          <w:szCs w:val="21"/>
        </w:rPr>
        <w:t xml:space="preserve">g/L </w:t>
      </w:r>
      <w:r>
        <w:rPr>
          <w:rFonts w:ascii="Times New Roman" w:hAnsi="Times New Roman" w:cs="Times New Roman"/>
          <w:kern w:val="2"/>
          <w:sz w:val="21"/>
          <w:szCs w:val="21"/>
        </w:rPr>
        <w:t>BF</w:t>
      </w:r>
      <w:r>
        <w:rPr>
          <w:rFonts w:ascii="Times New Roman" w:hAnsi="Times New Roman" w:cs="Times New Roman" w:hint="eastAsia"/>
          <w:kern w:val="2"/>
          <w:sz w:val="21"/>
          <w:szCs w:val="21"/>
        </w:rPr>
        <w:t xml:space="preserve"> groups, </w:t>
      </w:r>
      <w:r w:rsidR="00131B58">
        <w:rPr>
          <w:rFonts w:ascii="Times New Roman" w:hAnsi="Times New Roman" w:cs="Times New Roman"/>
          <w:kern w:val="2"/>
          <w:sz w:val="21"/>
          <w:szCs w:val="21"/>
        </w:rPr>
        <w:t xml:space="preserve">of which </w:t>
      </w:r>
      <w:r>
        <w:rPr>
          <w:rFonts w:ascii="Times New Roman" w:hAnsi="Times New Roman" w:cs="Times New Roman" w:hint="eastAsia"/>
          <w:kern w:val="2"/>
          <w:sz w:val="21"/>
          <w:szCs w:val="21"/>
        </w:rPr>
        <w:t>26 genes were co-differentially expressed (</w:t>
      </w:r>
      <w:bookmarkStart w:id="5" w:name="OLE_LINK1"/>
      <w:bookmarkStart w:id="6" w:name="bf0005"/>
      <w:bookmarkEnd w:id="5"/>
      <w:r>
        <w:fldChar w:fldCharType="begin"/>
      </w:r>
      <w:r>
        <w:instrText xml:space="preserve"> HYPERLINK "http://www-sciencedirect-com-s.vpn.hhu.edu.cn:8118/science/article/pii/S004896972032338X" \l "f0005" </w:instrText>
      </w:r>
      <w:r>
        <w:fldChar w:fldCharType="separate"/>
      </w:r>
      <w:r>
        <w:rPr>
          <w:rFonts w:ascii="Times New Roman" w:hAnsi="Times New Roman" w:cs="Times New Roman"/>
          <w:sz w:val="21"/>
          <w:szCs w:val="21"/>
        </w:rPr>
        <w:t>Fig. 5</w:t>
      </w:r>
      <w:r>
        <w:rPr>
          <w:rFonts w:ascii="Times New Roman" w:hAnsi="Times New Roman" w:cs="Times New Roman"/>
          <w:sz w:val="21"/>
          <w:szCs w:val="21"/>
        </w:rPr>
        <w:fldChar w:fldCharType="end"/>
      </w:r>
      <w:r>
        <w:rPr>
          <w:rFonts w:ascii="Times New Roman" w:hAnsi="Times New Roman" w:cs="Times New Roman"/>
          <w:sz w:val="21"/>
          <w:szCs w:val="21"/>
        </w:rPr>
        <w:t xml:space="preserve">A). </w:t>
      </w:r>
      <w:r w:rsidR="004123EC">
        <w:rPr>
          <w:rFonts w:ascii="Times New Roman" w:hAnsi="Times New Roman" w:cs="Times New Roman"/>
          <w:sz w:val="21"/>
          <w:szCs w:val="21"/>
        </w:rPr>
        <w:t>Especially,</w:t>
      </w:r>
      <w:r w:rsidR="00496FAE">
        <w:rPr>
          <w:rFonts w:ascii="Times New Roman" w:hAnsi="Times New Roman" w:cs="Times New Roman"/>
          <w:sz w:val="21"/>
          <w:szCs w:val="21"/>
        </w:rPr>
        <w:t xml:space="preserve"> </w:t>
      </w:r>
      <w:r>
        <w:rPr>
          <w:rFonts w:ascii="Times New Roman" w:hAnsi="Times New Roman" w:cs="Times New Roman"/>
          <w:sz w:val="21"/>
          <w:szCs w:val="21"/>
        </w:rPr>
        <w:t xml:space="preserve">48 and 98 DEGs were up-regulated and 18 and 17 DEG were down-regulated in the </w:t>
      </w:r>
      <w:r>
        <w:rPr>
          <w:rFonts w:ascii="Times New Roman" w:hAnsi="Times New Roman" w:cs="Times New Roman" w:hint="eastAsia"/>
          <w:kern w:val="2"/>
          <w:sz w:val="21"/>
          <w:szCs w:val="21"/>
        </w:rPr>
        <w:t>0.04</w:t>
      </w:r>
      <w:r>
        <w:rPr>
          <w:rFonts w:ascii="Times New Roman" w:hAnsi="Times New Roman" w:cs="Times New Roman"/>
          <w:kern w:val="2"/>
          <w:sz w:val="21"/>
          <w:szCs w:val="21"/>
        </w:rPr>
        <w:t xml:space="preserve"> µ</w:t>
      </w:r>
      <w:r>
        <w:rPr>
          <w:rFonts w:ascii="Times New Roman" w:hAnsi="Times New Roman" w:cs="Times New Roman" w:hint="eastAsia"/>
          <w:kern w:val="2"/>
          <w:sz w:val="21"/>
          <w:szCs w:val="21"/>
        </w:rPr>
        <w:t>g/L and 4</w:t>
      </w:r>
      <w:r>
        <w:rPr>
          <w:rFonts w:ascii="Times New Roman" w:hAnsi="Times New Roman" w:cs="Times New Roman"/>
          <w:kern w:val="2"/>
          <w:sz w:val="21"/>
          <w:szCs w:val="21"/>
        </w:rPr>
        <w:t xml:space="preserve"> µ</w:t>
      </w:r>
      <w:r>
        <w:rPr>
          <w:rFonts w:ascii="Times New Roman" w:hAnsi="Times New Roman" w:cs="Times New Roman" w:hint="eastAsia"/>
          <w:kern w:val="2"/>
          <w:sz w:val="21"/>
          <w:szCs w:val="21"/>
        </w:rPr>
        <w:t xml:space="preserve">g/L </w:t>
      </w:r>
      <w:r>
        <w:rPr>
          <w:rFonts w:ascii="Times New Roman" w:hAnsi="Times New Roman" w:cs="Times New Roman"/>
          <w:kern w:val="2"/>
          <w:sz w:val="21"/>
          <w:szCs w:val="21"/>
        </w:rPr>
        <w:t>BF</w:t>
      </w:r>
      <w:r>
        <w:rPr>
          <w:rFonts w:ascii="Times New Roman" w:hAnsi="Times New Roman" w:cs="Times New Roman" w:hint="eastAsia"/>
          <w:kern w:val="2"/>
          <w:sz w:val="21"/>
          <w:szCs w:val="21"/>
        </w:rPr>
        <w:t xml:space="preserve"> groups</w:t>
      </w:r>
      <w:r>
        <w:rPr>
          <w:rFonts w:ascii="Times New Roman" w:hAnsi="Times New Roman" w:cs="Times New Roman"/>
          <w:sz w:val="21"/>
          <w:szCs w:val="21"/>
        </w:rPr>
        <w:t>, respectively (</w:t>
      </w:r>
      <w:hyperlink r:id="rId10" w:anchor="f0005" w:history="1">
        <w:r>
          <w:rPr>
            <w:rFonts w:ascii="Times New Roman" w:hAnsi="Times New Roman" w:cs="Times New Roman"/>
            <w:sz w:val="21"/>
            <w:szCs w:val="21"/>
          </w:rPr>
          <w:t>Fig. 5</w:t>
        </w:r>
      </w:hyperlink>
      <w:r>
        <w:rPr>
          <w:rFonts w:ascii="Times New Roman" w:hAnsi="Times New Roman" w:cs="Times New Roman"/>
          <w:sz w:val="21"/>
          <w:szCs w:val="21"/>
        </w:rPr>
        <w:t>B</w:t>
      </w:r>
      <w:r>
        <w:rPr>
          <w:rFonts w:ascii="Times New Roman" w:hAnsi="Times New Roman" w:cs="Times New Roman" w:hint="eastAsia"/>
          <w:sz w:val="21"/>
          <w:szCs w:val="21"/>
        </w:rPr>
        <w:t>)</w:t>
      </w:r>
      <w:r>
        <w:rPr>
          <w:rFonts w:ascii="Times New Roman" w:hAnsi="Times New Roman" w:cs="Times New Roman"/>
          <w:sz w:val="21"/>
          <w:szCs w:val="21"/>
        </w:rPr>
        <w:t>.</w:t>
      </w:r>
      <w:bookmarkEnd w:id="6"/>
    </w:p>
    <w:p w14:paraId="73B69A34" w14:textId="77777777" w:rsidR="00F66A69" w:rsidRDefault="00000000" w:rsidP="00FC3758">
      <w:pPr>
        <w:pStyle w:val="a9"/>
        <w:suppressAutoHyphens/>
        <w:spacing w:before="0" w:beforeAutospacing="0" w:after="0" w:afterAutospacing="0" w:line="360" w:lineRule="auto"/>
        <w:ind w:firstLineChars="200" w:firstLine="420"/>
        <w:jc w:val="both"/>
        <w:rPr>
          <w:rFonts w:ascii="Times New Roman" w:hAnsi="Times New Roman" w:cs="Times New Roman"/>
          <w:sz w:val="21"/>
          <w:szCs w:val="21"/>
        </w:rPr>
      </w:pPr>
      <w:r>
        <w:rPr>
          <w:rFonts w:ascii="Times New Roman" w:hAnsi="Times New Roman" w:cs="Times New Roman"/>
          <w:sz w:val="21"/>
          <w:szCs w:val="21"/>
        </w:rPr>
        <w:lastRenderedPageBreak/>
        <w:t xml:space="preserve">The GO terms are shown in Figure 6. In the 0.04 </w:t>
      </w:r>
      <w:proofErr w:type="spellStart"/>
      <w:r>
        <w:rPr>
          <w:rFonts w:ascii="Times New Roman" w:hAnsi="Times New Roman" w:cs="Times New Roman"/>
          <w:sz w:val="21"/>
          <w:szCs w:val="21"/>
        </w:rPr>
        <w:t>μg</w:t>
      </w:r>
      <w:proofErr w:type="spellEnd"/>
      <w:r>
        <w:rPr>
          <w:rFonts w:ascii="Times New Roman" w:hAnsi="Times New Roman" w:cs="Times New Roman"/>
          <w:sz w:val="21"/>
          <w:szCs w:val="21"/>
        </w:rPr>
        <w:t>/L group, there were 24, 12, 12, 4, and 3 up</w:t>
      </w:r>
      <w:r w:rsidR="008C7BA9">
        <w:rPr>
          <w:rFonts w:ascii="Times New Roman" w:hAnsi="Times New Roman" w:cs="Times New Roman" w:hint="eastAsia"/>
          <w:sz w:val="21"/>
          <w:szCs w:val="21"/>
        </w:rPr>
        <w:t>-</w:t>
      </w:r>
      <w:r>
        <w:rPr>
          <w:rFonts w:ascii="Times New Roman" w:hAnsi="Times New Roman" w:cs="Times New Roman"/>
          <w:sz w:val="21"/>
          <w:szCs w:val="21"/>
        </w:rPr>
        <w:t>regulated biological process genes related to cellular process, response to stimulus, metabolic process, signal transduction, and the immune system compared to the control group</w:t>
      </w:r>
      <w:r w:rsidR="00A54614">
        <w:rPr>
          <w:rFonts w:ascii="Times New Roman" w:hAnsi="Times New Roman" w:cs="Times New Roman"/>
          <w:sz w:val="21"/>
          <w:szCs w:val="21"/>
        </w:rPr>
        <w:t>, respectively</w:t>
      </w:r>
      <w:r>
        <w:rPr>
          <w:rFonts w:ascii="Times New Roman" w:hAnsi="Times New Roman" w:cs="Times New Roman"/>
          <w:sz w:val="21"/>
          <w:szCs w:val="21"/>
        </w:rPr>
        <w:t xml:space="preserve">. </w:t>
      </w:r>
      <w:r w:rsidR="008C7BA9" w:rsidRPr="0020188A">
        <w:rPr>
          <w:rFonts w:ascii="Times New Roman" w:hAnsi="Times New Roman" w:cs="Times New Roman"/>
          <w:sz w:val="21"/>
          <w:szCs w:val="21"/>
        </w:rPr>
        <w:t>Molecular function genes related to catalytic activity and ATP-dependent activity were up-regulated in 9 and 3, respectively</w:t>
      </w:r>
      <w:r>
        <w:rPr>
          <w:rFonts w:ascii="Times New Roman" w:hAnsi="Times New Roman" w:cs="Times New Roman"/>
          <w:sz w:val="21"/>
          <w:szCs w:val="21"/>
        </w:rPr>
        <w:t xml:space="preserve"> (Fig. 6A).</w:t>
      </w:r>
      <w:r w:rsidR="00AF263F">
        <w:rPr>
          <w:rFonts w:ascii="Times New Roman" w:hAnsi="Times New Roman" w:cs="Times New Roman"/>
          <w:sz w:val="21"/>
          <w:szCs w:val="21"/>
        </w:rPr>
        <w:t xml:space="preserve"> </w:t>
      </w:r>
      <w:r>
        <w:rPr>
          <w:rFonts w:ascii="Times New Roman" w:hAnsi="Times New Roman" w:cs="Times New Roman"/>
          <w:sz w:val="21"/>
          <w:szCs w:val="21"/>
        </w:rPr>
        <w:t xml:space="preserve">In the 4 </w:t>
      </w:r>
      <w:proofErr w:type="spellStart"/>
      <w:r>
        <w:rPr>
          <w:rFonts w:ascii="Times New Roman" w:hAnsi="Times New Roman" w:cs="Times New Roman"/>
          <w:sz w:val="21"/>
          <w:szCs w:val="21"/>
        </w:rPr>
        <w:t>μg</w:t>
      </w:r>
      <w:proofErr w:type="spellEnd"/>
      <w:r>
        <w:rPr>
          <w:rFonts w:ascii="Times New Roman" w:hAnsi="Times New Roman" w:cs="Times New Roman"/>
          <w:sz w:val="21"/>
          <w:szCs w:val="21"/>
        </w:rPr>
        <w:t>/L exposure group, there were 43, 29, 28, 12, and 11 up</w:t>
      </w:r>
      <w:r w:rsidR="00CC3771">
        <w:rPr>
          <w:rFonts w:ascii="Times New Roman" w:hAnsi="Times New Roman" w:cs="Times New Roman" w:hint="eastAsia"/>
          <w:sz w:val="21"/>
          <w:szCs w:val="21"/>
        </w:rPr>
        <w:t>-</w:t>
      </w:r>
      <w:r>
        <w:rPr>
          <w:rFonts w:ascii="Times New Roman" w:hAnsi="Times New Roman" w:cs="Times New Roman"/>
          <w:sz w:val="21"/>
          <w:szCs w:val="21"/>
        </w:rPr>
        <w:t>regulated genes related to cellular processes, metabolic processes, responses to stimuli, signal transduction, and the immune system</w:t>
      </w:r>
      <w:r w:rsidR="00A54614">
        <w:rPr>
          <w:rFonts w:ascii="Times New Roman" w:hAnsi="Times New Roman" w:cs="Times New Roman"/>
          <w:sz w:val="21"/>
          <w:szCs w:val="21"/>
        </w:rPr>
        <w:t xml:space="preserve"> </w:t>
      </w:r>
      <w:r>
        <w:rPr>
          <w:rFonts w:ascii="Times New Roman" w:hAnsi="Times New Roman" w:cs="Times New Roman"/>
          <w:sz w:val="21"/>
          <w:szCs w:val="21"/>
        </w:rPr>
        <w:t>compared to the control group</w:t>
      </w:r>
      <w:r w:rsidR="00A54614">
        <w:rPr>
          <w:rFonts w:ascii="Times New Roman" w:hAnsi="Times New Roman" w:cs="Times New Roman"/>
          <w:sz w:val="21"/>
          <w:szCs w:val="21"/>
        </w:rPr>
        <w:t>, respectively</w:t>
      </w:r>
      <w:r>
        <w:rPr>
          <w:rFonts w:ascii="Times New Roman" w:hAnsi="Times New Roman" w:cs="Times New Roman"/>
          <w:sz w:val="21"/>
          <w:szCs w:val="21"/>
        </w:rPr>
        <w:t>. In particular,</w:t>
      </w:r>
      <w:r w:rsidR="00212917" w:rsidRPr="0020188A">
        <w:rPr>
          <w:rFonts w:ascii="Times New Roman" w:hAnsi="Times New Roman" w:cs="Times New Roman"/>
          <w:sz w:val="21"/>
          <w:szCs w:val="21"/>
        </w:rPr>
        <w:t xml:space="preserve"> one of antioxidant activity, behavior related and detoxification genes up-regulated in high BF treatment. Genes with molecular functions related to catalytic activity and ATP-dependent activity were up-regulated </w:t>
      </w:r>
      <w:r w:rsidR="008E2CA6">
        <w:rPr>
          <w:rFonts w:ascii="Times New Roman" w:hAnsi="Times New Roman" w:cs="Times New Roman" w:hint="eastAsia"/>
          <w:sz w:val="21"/>
          <w:szCs w:val="21"/>
        </w:rPr>
        <w:t>in</w:t>
      </w:r>
      <w:r w:rsidR="00212917" w:rsidRPr="0020188A">
        <w:rPr>
          <w:rFonts w:ascii="Times New Roman" w:hAnsi="Times New Roman" w:cs="Times New Roman"/>
          <w:sz w:val="21"/>
          <w:szCs w:val="21"/>
        </w:rPr>
        <w:t xml:space="preserve"> 20 and 7, respectively (Fig. 6B). </w:t>
      </w:r>
    </w:p>
    <w:p w14:paraId="1BBE819D" w14:textId="7F1214D8" w:rsidR="00950088" w:rsidRDefault="00000000" w:rsidP="00FC3758">
      <w:pPr>
        <w:pStyle w:val="a9"/>
        <w:suppressAutoHyphens/>
        <w:spacing w:before="0" w:beforeAutospacing="0" w:after="0" w:afterAutospacing="0" w:line="360" w:lineRule="auto"/>
        <w:ind w:firstLineChars="200" w:firstLine="420"/>
        <w:jc w:val="both"/>
        <w:rPr>
          <w:rFonts w:ascii="Times New Roman" w:hAnsi="Times New Roman" w:cs="Times New Roman"/>
          <w:sz w:val="21"/>
          <w:szCs w:val="21"/>
        </w:rPr>
      </w:pPr>
      <w:r>
        <w:rPr>
          <w:rFonts w:ascii="Times New Roman" w:hAnsi="Times New Roman" w:cs="Times New Roman"/>
          <w:sz w:val="21"/>
          <w:szCs w:val="21"/>
        </w:rPr>
        <w:t xml:space="preserve">KEGG enrichment analysis showed that the top five enriched pathways were calcium signaling, dilated cardiomyopathy, rheumatoid arthritis, cardiac muscle contraction, and NF-Kappa B signaling in 0.04 </w:t>
      </w:r>
      <w:proofErr w:type="spellStart"/>
      <w:r>
        <w:rPr>
          <w:rFonts w:ascii="Times New Roman" w:hAnsi="Times New Roman" w:cs="Times New Roman"/>
          <w:sz w:val="21"/>
          <w:szCs w:val="21"/>
        </w:rPr>
        <w:t>μg</w:t>
      </w:r>
      <w:proofErr w:type="spellEnd"/>
      <w:r>
        <w:rPr>
          <w:rFonts w:ascii="Times New Roman" w:hAnsi="Times New Roman" w:cs="Times New Roman"/>
          <w:sz w:val="21"/>
          <w:szCs w:val="21"/>
        </w:rPr>
        <w:t xml:space="preserve">/L BF treated CGS (Fig. 7A). In contrast, combining the top 20 GO and KEGG enriched pathways, the most enriched pathways with 4 g/L BF treatment were in the following five categories: calcium signaling, fat digestion and absorption, PPAR </w:t>
      </w:r>
      <w:hyperlink r:id="rId11" w:history="1"/>
      <w:r>
        <w:rPr>
          <w:rFonts w:ascii="Times New Roman" w:hAnsi="Times New Roman" w:cs="Times New Roman"/>
          <w:sz w:val="21"/>
          <w:szCs w:val="21"/>
        </w:rPr>
        <w:t xml:space="preserve">signaling, </w:t>
      </w:r>
      <w:r w:rsidRPr="0018545C">
        <w:rPr>
          <w:rFonts w:ascii="Times New Roman" w:hAnsi="Times New Roman" w:cs="Times New Roman"/>
          <w:sz w:val="21"/>
          <w:szCs w:val="21"/>
        </w:rPr>
        <w:t>Staphylococcus aureus</w:t>
      </w:r>
      <w:r>
        <w:rPr>
          <w:rFonts w:ascii="Times New Roman" w:hAnsi="Times New Roman" w:cs="Times New Roman"/>
          <w:sz w:val="21"/>
          <w:szCs w:val="21"/>
        </w:rPr>
        <w:t xml:space="preserve"> infection, and NF-kappa B signaling (Fig. 7B).</w:t>
      </w:r>
    </w:p>
    <w:p w14:paraId="5E6D949A" w14:textId="77777777" w:rsidR="00950088" w:rsidRDefault="00000000" w:rsidP="00FC3758">
      <w:pPr>
        <w:pStyle w:val="af"/>
        <w:numPr>
          <w:ilvl w:val="0"/>
          <w:numId w:val="1"/>
        </w:numPr>
        <w:suppressAutoHyphens/>
        <w:spacing w:line="360" w:lineRule="auto"/>
        <w:ind w:firstLineChars="0"/>
        <w:rPr>
          <w:rFonts w:ascii="Times New Roman" w:hAnsi="Times New Roman" w:cs="Times New Roman"/>
          <w:b/>
          <w:bCs/>
          <w:szCs w:val="21"/>
        </w:rPr>
      </w:pPr>
      <w:r>
        <w:rPr>
          <w:rFonts w:ascii="Times New Roman" w:hAnsi="Times New Roman" w:cs="Times New Roman"/>
          <w:b/>
          <w:bCs/>
          <w:szCs w:val="21"/>
        </w:rPr>
        <w:t>D</w:t>
      </w:r>
      <w:r>
        <w:rPr>
          <w:rFonts w:ascii="Times New Roman" w:hAnsi="Times New Roman" w:cs="Times New Roman" w:hint="eastAsia"/>
          <w:b/>
          <w:bCs/>
          <w:szCs w:val="21"/>
        </w:rPr>
        <w:t>iscuss</w:t>
      </w:r>
      <w:r>
        <w:rPr>
          <w:rFonts w:ascii="Times New Roman" w:hAnsi="Times New Roman" w:cs="Times New Roman"/>
          <w:b/>
          <w:bCs/>
          <w:szCs w:val="21"/>
        </w:rPr>
        <w:t>ion</w:t>
      </w:r>
    </w:p>
    <w:p w14:paraId="2CEAC38B" w14:textId="07165F70" w:rsidR="00950088" w:rsidRDefault="00000000" w:rsidP="00591F2A">
      <w:pPr>
        <w:suppressAutoHyphens/>
        <w:adjustRightInd w:val="0"/>
        <w:snapToGrid w:val="0"/>
        <w:spacing w:line="48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B</w:t>
      </w:r>
      <w:r>
        <w:rPr>
          <w:rFonts w:ascii="Times New Roman" w:hAnsi="Times New Roman" w:cs="Times New Roman"/>
          <w:kern w:val="0"/>
          <w:szCs w:val="21"/>
        </w:rPr>
        <w:t>F</w:t>
      </w:r>
      <w:r>
        <w:rPr>
          <w:rFonts w:ascii="Times New Roman" w:hAnsi="Times New Roman" w:cs="Times New Roman" w:hint="eastAsia"/>
          <w:kern w:val="0"/>
          <w:szCs w:val="21"/>
        </w:rPr>
        <w:t xml:space="preserve"> </w:t>
      </w:r>
      <w:r>
        <w:rPr>
          <w:rFonts w:ascii="Times New Roman" w:hAnsi="Times New Roman" w:cs="Times New Roman"/>
          <w:kern w:val="0"/>
          <w:szCs w:val="21"/>
        </w:rPr>
        <w:t>is</w:t>
      </w:r>
      <w:r>
        <w:rPr>
          <w:rFonts w:ascii="Times New Roman" w:hAnsi="Times New Roman" w:cs="Times New Roman" w:hint="eastAsia"/>
          <w:kern w:val="0"/>
          <w:szCs w:val="21"/>
        </w:rPr>
        <w:t xml:space="preserve"> </w:t>
      </w:r>
      <w:r w:rsidR="00F96CC1">
        <w:rPr>
          <w:rFonts w:ascii="Times New Roman" w:hAnsi="Times New Roman" w:cs="Times New Roman"/>
          <w:kern w:val="0"/>
          <w:szCs w:val="21"/>
        </w:rPr>
        <w:t>widely</w:t>
      </w:r>
      <w:r>
        <w:rPr>
          <w:rFonts w:ascii="Times New Roman" w:hAnsi="Times New Roman" w:cs="Times New Roman" w:hint="eastAsia"/>
          <w:kern w:val="0"/>
          <w:szCs w:val="21"/>
        </w:rPr>
        <w:t xml:space="preserve"> used in agriculture</w:t>
      </w:r>
      <w:r>
        <w:rPr>
          <w:rFonts w:ascii="Times New Roman" w:hAnsi="Times New Roman" w:cs="Times New Roman"/>
          <w:kern w:val="0"/>
          <w:szCs w:val="21"/>
        </w:rPr>
        <w:t xml:space="preserve"> and </w:t>
      </w:r>
      <w:r w:rsidR="008475FE">
        <w:rPr>
          <w:rFonts w:ascii="Times New Roman" w:hAnsi="Times New Roman" w:cs="Times New Roman"/>
          <w:kern w:val="0"/>
          <w:szCs w:val="21"/>
        </w:rPr>
        <w:t>accumulated</w:t>
      </w:r>
      <w:r>
        <w:rPr>
          <w:rFonts w:ascii="Times New Roman" w:hAnsi="Times New Roman" w:cs="Times New Roman" w:hint="eastAsia"/>
          <w:kern w:val="0"/>
          <w:szCs w:val="21"/>
        </w:rPr>
        <w:t xml:space="preserve"> in</w:t>
      </w:r>
      <w:r>
        <w:rPr>
          <w:rFonts w:ascii="Times New Roman" w:hAnsi="Times New Roman" w:cs="Times New Roman"/>
          <w:kern w:val="0"/>
          <w:szCs w:val="21"/>
        </w:rPr>
        <w:t xml:space="preserve"> </w:t>
      </w:r>
      <w:hyperlink r:id="rId12" w:tooltip="Learn more about aquatic environments from ScienceDirect's AI-generated Topic Pages" w:history="1">
        <w:r>
          <w:rPr>
            <w:rFonts w:ascii="Times New Roman" w:hAnsi="Times New Roman" w:cs="Times New Roman"/>
            <w:kern w:val="0"/>
            <w:szCs w:val="21"/>
          </w:rPr>
          <w:t>a</w:t>
        </w:r>
        <w:r>
          <w:rPr>
            <w:rFonts w:ascii="Times New Roman" w:hAnsi="Times New Roman" w:cs="Times New Roman" w:hint="eastAsia"/>
            <w:kern w:val="0"/>
            <w:szCs w:val="21"/>
          </w:rPr>
          <w:t>quatic environment</w:t>
        </w:r>
      </w:hyperlink>
      <w:r>
        <w:rPr>
          <w:rFonts w:ascii="Times New Roman" w:hAnsi="Times New Roman" w:cs="Times New Roman"/>
          <w:kern w:val="0"/>
          <w:szCs w:val="21"/>
        </w:rPr>
        <w:t xml:space="preserve">, </w:t>
      </w:r>
      <w:r>
        <w:rPr>
          <w:rFonts w:ascii="Times New Roman" w:hAnsi="Times New Roman" w:cs="Times New Roman" w:hint="eastAsia"/>
          <w:kern w:val="0"/>
          <w:szCs w:val="21"/>
        </w:rPr>
        <w:t>sediment</w:t>
      </w:r>
      <w:r>
        <w:rPr>
          <w:rFonts w:ascii="Times New Roman" w:hAnsi="Times New Roman" w:cs="Times New Roman"/>
          <w:kern w:val="0"/>
          <w:szCs w:val="21"/>
        </w:rPr>
        <w:t>s</w:t>
      </w:r>
      <w:r>
        <w:rPr>
          <w:rFonts w:ascii="Times New Roman" w:eastAsia="宋体" w:hAnsi="Times New Roman" w:cs="Times New Roman"/>
          <w:kern w:val="0"/>
          <w:szCs w:val="21"/>
        </w:rPr>
        <w:t>,</w:t>
      </w:r>
      <w:r>
        <w:rPr>
          <w:rFonts w:ascii="Times New Roman" w:hAnsi="Times New Roman" w:cs="Times New Roman" w:hint="eastAsia"/>
          <w:kern w:val="0"/>
          <w:szCs w:val="21"/>
        </w:rPr>
        <w:t xml:space="preserve"> and </w:t>
      </w:r>
      <w:r w:rsidR="00F96CC1">
        <w:rPr>
          <w:rFonts w:ascii="Times New Roman" w:hAnsi="Times New Roman" w:cs="Times New Roman"/>
          <w:kern w:val="0"/>
          <w:szCs w:val="21"/>
        </w:rPr>
        <w:t>organism</w:t>
      </w:r>
      <w:r w:rsidR="00A3134A">
        <w:rPr>
          <w:rFonts w:ascii="Times New Roman" w:hAnsi="Times New Roman" w:cs="Times New Roman"/>
          <w:kern w:val="0"/>
          <w:szCs w:val="21"/>
        </w:rPr>
        <w:fldChar w:fldCharType="begin" w:fldLock="1"/>
      </w:r>
      <w:r w:rsidR="00A3134A">
        <w:rPr>
          <w:rFonts w:ascii="Times New Roman" w:hAnsi="Times New Roman" w:cs="Times New Roman"/>
          <w:kern w:val="0"/>
          <w:szCs w:val="21"/>
        </w:rPr>
        <w:instrText>ADDIN CSL_CITATION {"citationItems":[{"id":"ITEM-1","itemData":{"DOI":"10.1007/s10311-018-0765-0","ISBN":"0123456789","ISSN":"16103661","abstract":"Bifenthrin is a chiral synthetic pyrethroid insecticide that has been commonly used for agricultural and domestic pest control over the past decades. Due to its widespread application, residues of bifenthrin has been frequently detected in environmental media, residential areas and biota, thus posing potential risks to the health of wildlife and humans. In particular, bifenthrin exhibits high acute lethal toxicity to aquatic species, and it is the primary contributor to the toxicity of insecticides in waters. Additionally, bifenthrin can also cause sublethal toxic effects on various non-target organisms, including developmental toxicity, neurobehavioral toxicity, oxidative damage, immune toxicity and endocrine disrupting effects. Here we review recent studies about the fate of bifenthrin in the environment and biological systems, the toxicity of the chiral parent compound bifenthrin and the toxic effects of main metabolites. The adverse effects of bifenthrin, identified from both in vitro and in vivo studies, and the potential underlying mechanisms are presented. We discuss the enantiomeric difference in the toxicological effects of bifenthrin, since enantiomers of chiral compounds show different interactions with biological systems. Pyrethroid insecticides metabolites are not acutely toxic, but they have sublethal toxicity, such as endocrine disrupting effects and immunotoxicity. We provide emerging evidence for toxic effects of several main metabolites.","author":[{"dropping-particle":"","family":"Yang","given":"Ye","non-dropping-particle":"","parse-names":false,"suffix":""},{"dropping-particle":"","family":"Wu","given":"Nanxiang","non-dropping-particle":"","parse-names":false,"suffix":""},{"dropping-particle":"","family":"Wang","given":"Chunlei","non-dropping-particle":"","parse-names":false,"suffix":""}],"container-title":"Environmental Chemistry Letters","id":"ITEM-1","issue":"4","issued":{"date-parts":[["2018"]]},"page":"1377-1391","publisher":"Springer International Publishing","title":"Toxicity of the pyrethroid bifenthrin insecticide","type":"article-journal","volume":"16"},"uris":["http://www.mendeley.com/documents/?uuid=0df32cd9-3ad0-4496-aa15-9b1f909e32ab"]},{"id":"ITEM-2","itemData":{"DOI":"10.1016/j.aquatox.2020.105420","ISSN":"18791514","PMID":"31986404","abstract":"Recently, research on the biological effects of nanoplastics has grown exponentially. However, studies on the effects of nanoplastics on freshwater organisms and the mechanisms of the biological effects of nanoplastics are limited. In this study, the content of reactive oxygen species (ROS), gene and protein expression in the MAPK-HIF-1/NFkB pathway, and antioxidant gene expressions and enzyme activities were measured in Daphnia pulex exposed to polystyrene nanoplastic. In addition, the full-length extracellular signal-regulated kinases (ERK) gene, which plays an important role in the MAPK pathway, was cloned in D. pulex, and the amino acid sequence, function domain, and phylogenetic tree were analyzed. The results show that nanoplastic caused the overproduction of ROS along with other dose-dependent effects. Low nanoplastic concentrations (0.1 and/or 0.5 mg/L) significantly increased the expressions of genes of the MAPK pathway (ERK; p38 mitogen-activated protein kinases, p38; c-Jun amino-terminal kinases, JNK; and protein kinase B, AKT), HIF-1 pathway (prolyl hydroxylasedomain, PHD; vascular endothelial growth factor, VEGF; glucose transporter, GLUT; pyruvate kinase M, PKM; hypoxia-inducible factor 1, HIF1), and CuZn superoxide dismutase (SOD) along with the activity of glutathione-S-transferase. As the nanoplastic concentration increased, these indicators were significantly suppressed. The protein expression ratio of ERK, JNK, AKT, HIF1α, and NFkBp65 (nuclear transcription factor-kB p65) as well as the phosphorylation of ERK and NFkBp65 were increased in a dose-dependent manner. The activities of other antioxidant enzymes (catalase, total SOD, and CuZn SOD) were significantly decreased upon exposure to nanoplastic. Combined with our previous work, these results suggest that polystyrene nanoplastic causes the overproduction of ROS and activates the downstream pathway, resulting in inhibited growth, development, and reproduction. The present study fosters a better understanding of the biological effects of nanoplastics on zooplankton.","author":[{"dropping-particle":"","family":"Liu","given":"Zhiquan","non-dropping-particle":"","parse-names":false,"suffix":""},{"dropping-particle":"","family":"Huang","given":"Youhui","non-dropping-particle":"","parse-names":false,"suffix":""},{"dropping-particle":"","family":"Jiao","given":"Yang","non-dropping-particle":"","parse-names":false,"suffix":""},{"dropping-particle":"","family":"Chen","given":"Qiang","non-dropping-particle":"","parse-names":false,"suffix":""},{"dropping-particle":"","family":"Wu","given":"Donglei","non-dropping-particle":"","parse-names":false,"suffix":""},{"dropping-particle":"","family":"Yu","given":"Ping","non-dropping-particle":"","parse-names":false,"suffix":""},{"dropping-particle":"","family":"Li","given":"Yiming","non-dropping-particle":"","parse-names":false,"suffix":""},{"dropping-particle":"","family":"Cai","given":"Mingqi","non-dropping-particle":"","parse-names":false,"suffix":""},{"dropping-particle":"","family":"Zhao","given":"Yunlong","non-dropping-particle":"","parse-names":false,"suffix":""}],"container-title":"Aquatic Toxicology","id":"ITEM-2","issue":"January","issued":{"date-parts":[["2020"]]},"page":"105420","publisher":"Elsevier","title":"Polystyrene nanoplastic induces ROS production and affects the MAPK-HIF-1/NFkB-mediated antioxidant system in Daphnia pulex","type":"article-journal","volume":"220"},"uris":["http://www.mendeley.com/documents/?uuid=7608079c-92f0-4d9c-80c9-5954392dcde1"]}],"mendeley":{"formattedCitation":"(Liu et al., 2020; Yang et al., 2018)","plainTextFormattedCitation":"(Liu et al., 2020; Yang et al., 2018)","previouslyFormattedCitation":"(Liu et al., 2020; Yang et al., 2018)"},"properties":{"noteIndex":0},"schema":"https://github.com/citation-style-language/schema/raw/master/csl-citation.json"}</w:instrText>
      </w:r>
      <w:r w:rsidR="00A3134A">
        <w:rPr>
          <w:rFonts w:ascii="Times New Roman" w:hAnsi="Times New Roman" w:cs="Times New Roman"/>
          <w:kern w:val="0"/>
          <w:szCs w:val="21"/>
        </w:rPr>
        <w:fldChar w:fldCharType="separate"/>
      </w:r>
      <w:r w:rsidR="00A3134A" w:rsidRPr="00A3134A">
        <w:rPr>
          <w:rFonts w:ascii="Times New Roman" w:hAnsi="Times New Roman" w:cs="Times New Roman"/>
          <w:noProof/>
          <w:kern w:val="0"/>
          <w:szCs w:val="21"/>
        </w:rPr>
        <w:t>(Liu et al., 2020; Yang et al., 2018)</w:t>
      </w:r>
      <w:r w:rsidR="00A3134A">
        <w:rPr>
          <w:rFonts w:ascii="Times New Roman" w:hAnsi="Times New Roman" w:cs="Times New Roman"/>
          <w:kern w:val="0"/>
          <w:szCs w:val="21"/>
        </w:rPr>
        <w:fldChar w:fldCharType="end"/>
      </w:r>
      <w:r>
        <w:rPr>
          <w:rFonts w:ascii="Times New Roman" w:hAnsi="Times New Roman" w:cs="Times New Roman" w:hint="eastAsia"/>
          <w:kern w:val="0"/>
          <w:szCs w:val="21"/>
        </w:rPr>
        <w:t xml:space="preserve">. </w:t>
      </w:r>
      <w:r>
        <w:rPr>
          <w:rFonts w:ascii="Times New Roman" w:hAnsi="Times New Roman" w:cs="Times New Roman"/>
          <w:kern w:val="0"/>
          <w:szCs w:val="21"/>
        </w:rPr>
        <w:t>It</w:t>
      </w:r>
      <w:r>
        <w:rPr>
          <w:rFonts w:ascii="Times New Roman" w:hAnsi="Times New Roman" w:cs="Times New Roman" w:hint="eastAsia"/>
          <w:kern w:val="0"/>
          <w:szCs w:val="21"/>
        </w:rPr>
        <w:t xml:space="preserve"> can disrupt </w:t>
      </w:r>
      <w:r>
        <w:rPr>
          <w:rFonts w:ascii="Times New Roman" w:eastAsia="宋体" w:hAnsi="Times New Roman" w:cs="Times New Roman"/>
          <w:kern w:val="0"/>
          <w:szCs w:val="21"/>
        </w:rPr>
        <w:t xml:space="preserve">the levels of antioxidant enzymes </w:t>
      </w:r>
      <w:r>
        <w:rPr>
          <w:rFonts w:ascii="Times New Roman" w:hAnsi="Times New Roman" w:cs="Times New Roman" w:hint="eastAsia"/>
          <w:kern w:val="0"/>
          <w:szCs w:val="21"/>
        </w:rPr>
        <w:t>in organisms, causing</w:t>
      </w:r>
      <w:r>
        <w:rPr>
          <w:rFonts w:ascii="Times New Roman" w:hAnsi="Times New Roman" w:cs="Times New Roman"/>
          <w:kern w:val="0"/>
          <w:szCs w:val="21"/>
        </w:rPr>
        <w:t xml:space="preserve"> </w:t>
      </w:r>
      <w:hyperlink r:id="rId13" w:tooltip="Learn more about histopathology from ScienceDirect's AI-generated Topic Pages" w:history="1">
        <w:r>
          <w:rPr>
            <w:rFonts w:ascii="Times New Roman" w:hAnsi="Times New Roman" w:cs="Times New Roman"/>
            <w:kern w:val="0"/>
            <w:szCs w:val="21"/>
          </w:rPr>
          <w:t>t</w:t>
        </w:r>
        <w:r>
          <w:rPr>
            <w:rFonts w:ascii="Times New Roman" w:hAnsi="Times New Roman" w:cs="Times New Roman" w:hint="eastAsia"/>
            <w:kern w:val="0"/>
            <w:szCs w:val="21"/>
          </w:rPr>
          <w:t>issue lesion</w:t>
        </w:r>
      </w:hyperlink>
      <w:r>
        <w:rPr>
          <w:rFonts w:ascii="Times New Roman" w:hAnsi="Times New Roman" w:cs="Times New Roman"/>
          <w:kern w:val="0"/>
          <w:szCs w:val="21"/>
        </w:rPr>
        <w:t xml:space="preserve"> a</w:t>
      </w:r>
      <w:r>
        <w:rPr>
          <w:rFonts w:ascii="Times New Roman" w:hAnsi="Times New Roman" w:cs="Times New Roman" w:hint="eastAsia"/>
          <w:kern w:val="0"/>
          <w:szCs w:val="21"/>
        </w:rPr>
        <w:t>nd behavioral abnormalities</w:t>
      </w:r>
      <w:r w:rsidR="001F6751">
        <w:rPr>
          <w:rFonts w:ascii="Times New Roman" w:hAnsi="Times New Roman" w:cs="Times New Roman"/>
          <w:kern w:val="0"/>
          <w:szCs w:val="21"/>
        </w:rPr>
        <w:t xml:space="preserve"> </w:t>
      </w:r>
      <w:r w:rsidR="00A3134A">
        <w:rPr>
          <w:rFonts w:ascii="Times New Roman" w:hAnsi="Times New Roman" w:cs="Times New Roman"/>
          <w:kern w:val="0"/>
          <w:szCs w:val="21"/>
          <w:vertAlign w:val="superscript"/>
        </w:rPr>
        <w:fldChar w:fldCharType="begin" w:fldLock="1"/>
      </w:r>
      <w:r w:rsidR="00A3134A">
        <w:rPr>
          <w:rFonts w:ascii="Times New Roman" w:hAnsi="Times New Roman" w:cs="Times New Roman"/>
          <w:kern w:val="0"/>
          <w:szCs w:val="21"/>
          <w:vertAlign w:val="superscript"/>
        </w:rPr>
        <w:instrText>ADDIN CSL_CITATION {"citationItems":[{"id":"ITEM-1","itemData":{"DOI":"10.1039/c7tx00205j","ISSN":"20454538","abstract":"Extensive use of synthetic pyrethroids has resulted in serious human health issues. Induction of oxidative stress is an important mechanism of action of most pesticides including pyrethroids. In the present study, we have elucidated the possible role of oxidative stress in bifenthrin-induced neurotoxicity. Adult male Wistar rats were administered bifenthrin (3.5 and 7 mg per kg body weight p.o.) for 30 days. Behavioral studies were conducted on a set of randomly selected rats from each treatment group after completion of treatment. Neurochemical parameters were assessed 24 h after the last dose was administered. The selected behavioral and neurochemical endpoints were also assessed 15 days after cessation of exposure to reveal whether the neurobehavioral changes produced by bifenthrin were temporary or permanent. Deficits in motor activity, motor incoordination, and cognitive impairment were observed after exposure to bifenthrin. Levels of biogenic amines viz. dopamine (DA) and its metabolites, i.e. 3,4-dihydroxyphenylacetic acid (DOPAC) and homovanillic acid (HVA), epinephrine (EPN), norepinephrine (NE), and serotonin (5-HT) altered in the frontal cortex, corpus striatum, and hippocampus of bifenthrin-treated rats. A decrease in the activity of acetylcholinesterase (AChE) occurred in all regions of the brain. Both doses of bifenthrin significantly induced lipid peroxidation (LPO) and increased protein carbonyl levels in the frontal cortex, corpus striatum, and hippocampus of rats. The activities of antioxidant enzymes, i.e. catalase, superoxide dismutase, and glutathione peroxidase, were also suppressed in all selected regions of the brain. A trend of recovery was, however, observed in all the behavioral and neurochemical endpoints 15 days after withdrawal of exposure. Oxidative stress seems to play an important role in bifenthrin-induced neurotoxicity. Our study suggests that long-term exposure to these compounds can produce detrimental effects.","author":[{"dropping-particle":"","family":"Syed","given":"Farah","non-dropping-particle":"","parse-names":false,"suffix":""},{"dropping-particle":"","family":"Awasthi","given":"Kumud K.","non-dropping-particle":"","parse-names":false,"suffix":""},{"dropping-particle":"","family":"Chandravanshi","given":"Lalit P.","non-dropping-particle":"","parse-names":false,"suffix":""},{"dropping-particle":"","family":"Verma","given":"Rajbala","non-dropping-particle":"","parse-names":false,"suffix":""},{"dropping-particle":"","family":"Rajawat","given":"Neelu K.","non-dropping-particle":"","parse-names":false,"suffix":""},{"dropping-particle":"","family":"Khanna","given":"Vinay K.","non-dropping-particle":"","parse-names":false,"suffix":""},{"dropping-particle":"","family":"John","given":"P. J.","non-dropping-particle":"","parse-names":false,"suffix":""},{"dropping-particle":"","family":"Soni","given":"Inderpal","non-dropping-particle":"","parse-names":false,"suffix":""}],"container-title":"Toxicology Research","id":"ITEM-1","issue":"1","issued":{"date-parts":[["2018"]]},"page":"48-58","publisher":"Royal Society of Chemistry","title":"Bifenthrin-induced neurotoxicity in rats: Involvement of oxidative stress","type":"article-journal","volume":"7"},"uris":["http://www.mendeley.com/documents/?uuid=ab7c00b5-cddc-4bc6-b466-4f605b06ed86"]},{"id":"ITEM-2","itemData":{"DOI":"10.1016/j.chemosphere.2018.12.026","ISSN":"18791298","PMID":"30553213","abstract":"Pyrethroids are potent neurotoxicants that may elicit multiple pathways of toxicity in non-target organisms. Comparative studies on the mechanistic and developmental effects of types I and II pyrethroids against non-target aquatic species are limited. This study assessed the effects of the two pyrethroid types against embryo-larval zebrafish (Danio rerio) at environmentally relevant and laboratory concentrations. Zebrafish embryos were exposed to type-I (permethrin, bifenthrin) and type-II (deltamethrin, λ-cyhalothrin, fenvalerate, esfenvalerate) pyrethroids at 1000, 10, 0.1, 0.01, 0.0 μg/L, starting at 5-h post-fertilization (hpf) through 5-d post-fertilization (dpf) under static exposure conditions. Swimming behavior (distance traveled and velocity) was assessed at 5-dpf. The relative expression of Nrf2a, GST, Casp-9 and p53 mRNA transcripts, carboxyl esterase (CES) activity and total reactive oxygen species (ROS) were measured. The stability of the pyrethroids across 5 days was analyzed. Bifenthrin-(10 μg/L) and esfenvalerate-(1000 μg/L) significantly (p &lt; 0.05) reduced total distance traveled by larvae while 1000 μg/L deltamethrin and λ-cyhalothrin were lethal causing body axis curvature and pericardial edema. At environmentally relevant concentrations-(μg/L) compared to control, permethrin-(0.122) upregulated Nrf2a and Casp-9 expressions while λ-cyhalothrin-(0.053) downregulated Nrf2a and fenvalerate-0.037 downregulated GST. At laboratory concentrations-(μg/L), permethrin-(1000) upregulated Nrf2a, Casp-9 and p53 expressions, bifenthrin-(10) upregulated Casp-9 while fenvalerate-(0.1) and esfenvalerate-(1000) downregulated GST. There was concentration dependent increase in CES activity which correlated positively with total ROS. Pyrethroid concentrations decreased significantly by day 5. This study showed disparity in the mechanistic effects across the pyrethroids types and their instability in aqueous media may underestimate toxicity against non-target aquatic species when exposed in their natural environment.","author":[{"dropping-particle":"","family":"Awoyemi","given":"Olushola M.","non-dropping-particle":"","parse-names":false,"suffix":""},{"dropping-particle":"","family":"Kumar","given":"Naveen","non-dropping-particle":"","parse-names":false,"suffix":""},{"dropping-particle":"","family":"Schmitt","given":"Cassandra","non-dropping-particle":"","parse-names":false,"suffix":""},{"dropping-particle":"","family":"Subbiah","given":"Seenivasan","non-dropping-particle":"","parse-names":false,"suffix":""},{"dropping-particle":"","family":"Crago","given":"Jordan","non-dropping-particle":"","parse-names":false,"suffix":""}],"container-title":"Chemosphere","id":"ITEM-2","issued":{"date-parts":[["2019"]]},"page":"526-537","publisher":"Elsevier Ltd","title":"Behavioral, molecular and physiological responses of embryo-larval zebrafish exposed to types I and II pyrethroids","type":"article-journal","volume":"219"},"uris":["http://www.mendeley.com/documents/?uuid=c5dd6b86-176c-4b9d-99eb-f40f27db4e70"]},{"id":"ITEM-3","itemData":{"DOI":"10.1016/j.fsi.2012.11.046","ISSN":"10959947","PMID":"23261506","abstract":"Cis-bifenthrin (cis-BF) is used widely for agricultural and non-agricultural purpose. Thus, cis-BF is one of the most frequently detected insecticides in the aquatic ecosystem. As a chiral pesticide, the commercial cis-BF contained two enantiomers including 1R-. cis-BF and 1S-. cis-BF. However, the difference in inducing oxidative stress, apoptosis and immunotoxicity by the two enantiomers in zebrafish still remains unclear. In the present study, the zebrafish were exposed to environmental concentrations of cis-BF, 1R-. cis-BF and 1S-. cis-BF during the embryos developmental stage. We observed that the mRNA levels of the most genes related to oxidative stress, apoptosis and immunotoxicity including Cu/Zn-superoxide dismutase (Cu/Zn-Sod), catalase (Cat), P53, murine double minute 2 (Mdm2), B-cell lymphoma/leukaemia-2 gene (Bcl2), Bcl2 associated X protein (Bax), apoptotic protease activating factor-1 (Apaf1), Caspase 9 (Cas9), Caspase 3 (Cas3), interleukin-1 beta (IL-1β) and interleukin-8(Il-8) were much higher in 1S-. cis-BF treated group than those in cis-BF or 1R-. cis-BF treated ones, suggesting that 1S-. cis-BF has higher risk to induced oxidative stress, apoptosis and immunotoxicity than 1R-. cis-BF in zebrafish. The information presented in this study will help with elucidating the differences and environmental risk of the two enantiomers of cis-BF-induced toxicity in aquatic organisms. © 2012 Elsevier Ltd.","author":[{"dropping-particle":"","family":"Jin","given":"Yuanxiang","non-dropping-particle":"","parse-names":false,"suffix":""},{"dropping-particle":"","family":"Pan","given":"Xiuhong","non-dropping-particle":"","parse-names":false,"suffix":""},{"dropping-particle":"","family":"Cao","given":"Limin","non-dropping-particle":"","parse-names":false,"suffix":""},{"dropping-particle":"","family":"Ma","given":"Bufang","non-dropping-particle":"","parse-names":false,"suffix":""},{"dropping-particle":"","family":"Fu","given":"Zhengwei","non-dropping-particle":"","parse-names":false,"suffix":""}],"container-title":"Fish and Shellfish Immunology","id":"ITEM-3","issue":"2","issued":{"date-parts":[["2013"]]},"page":"717-723","publisher":"Elsevier Ltd","title":"Embryonic exposure to cis-bifenthrin enantioselectively induces the transcription of genes related to oxidative stress, apoptosis and immunotoxicity in zebrafish (Danio rerio)","type":"article-journal","volume":"34"},"uris":["http://www.mendeley.com/documents/?uuid=0a25f2e8-dbd6-4a8f-ad54-a941272af20f"]},{"id":"ITEM-4","itemData":{"DOI":"10.1016/j.etap.2020.103347","ISSN":"18727077","PMID":"32058321","abstract":"Alpha-cypermethrin (ACy) is a synthetic pyrethroid insecticide commonly used in agricultural practices for controlling a broad range of insect pests particularly belonging to the order Lepidoptera and Coleoptera. The present study aims to evaluate the toxic effect of ACy on microalgae by studying its influence on Chlorella sp. According to our knowledge, this is the first detailed study of ACy toxicity on microalgae. Significant growth inhibition of Chlorella sp. was observed at high ACy concentration (6−48 mg L−1) during the entire 96 h bioassay. The 96 h median effective concentration (EC50) of ACy was estimated to be 11.00 mg L−1. Flow cytometry analysis showed an enhanced generation of reactive oxygen species (ROS) and intracellular lipid accumulation after 96 h exposure to 11.00 mg L-1 of ACy. Further, the same ACy concentration showed a significant decrease in photosynthetic pigment content and an increase in antioxidant enzyme activity and malondialdehyde (MDA) content in Chlorella sp.","author":[{"dropping-particle":"","family":"Baruah","given":"Prithu","non-dropping-particle":"","parse-names":false,"suffix":""},{"dropping-particle":"","family":"Chaurasia","given":"Neha","non-dropping-particle":"","parse-names":false,"suffix":""}],"container-title":"Environmental Toxicology and Pharmacology","id":"ITEM-4","issue":"March 2019","issued":{"date-parts":[["2020"]]},"page":"103347","publisher":"Elsevier","title":"Ecotoxicological effects of alpha-cypermethrin on freshwater alga Chlorella sp.: Growth inhibition and oxidative stress studies","type":"article-journal","volume":"76"},"uris":["http://www.mendeley.com/documents/?uuid=e2ecfc07-47ec-4dfd-94c5-9c9ceb0ac38e"]}],"mendeley":{"formattedCitation":"(Awoyemi et al., 2019; Baruah and Chaurasia, 2020; Jin et al., 2013; Syed et al., 2018)","plainTextFormattedCitation":"(Awoyemi et al., 2019; Baruah and Chaurasia, 2020; Jin et al., 2013; Syed et al., 2018)","previouslyFormattedCitation":"(Awoyemi et al., 2019; Baruah and Chaurasia, 2020; Jin et al., 2013; Syed et al., 2018)"},"properties":{"noteIndex":0},"schema":"https://github.com/citation-style-language/schema/raw/master/csl-citation.json"}</w:instrText>
      </w:r>
      <w:r w:rsidR="00A3134A">
        <w:rPr>
          <w:rFonts w:ascii="Times New Roman" w:hAnsi="Times New Roman" w:cs="Times New Roman"/>
          <w:kern w:val="0"/>
          <w:szCs w:val="21"/>
          <w:vertAlign w:val="superscript"/>
        </w:rPr>
        <w:fldChar w:fldCharType="separate"/>
      </w:r>
      <w:r w:rsidR="00A3134A" w:rsidRPr="00A3134A">
        <w:rPr>
          <w:rFonts w:ascii="Times New Roman" w:hAnsi="Times New Roman" w:cs="Times New Roman"/>
          <w:noProof/>
          <w:kern w:val="0"/>
          <w:szCs w:val="21"/>
        </w:rPr>
        <w:t>(Awoyemi et al., 2019; Baruah and Chaurasia, 2020; Jin et al., 2013; Syed et al., 2018)</w:t>
      </w:r>
      <w:r w:rsidR="00A3134A">
        <w:rPr>
          <w:rFonts w:ascii="Times New Roman" w:hAnsi="Times New Roman" w:cs="Times New Roman"/>
          <w:kern w:val="0"/>
          <w:szCs w:val="21"/>
          <w:vertAlign w:val="superscript"/>
        </w:rPr>
        <w:fldChar w:fldCharType="end"/>
      </w:r>
      <w:r>
        <w:rPr>
          <w:rFonts w:ascii="Times New Roman" w:hAnsi="Times New Roman" w:cs="Times New Roman" w:hint="eastAsia"/>
          <w:kern w:val="0"/>
          <w:szCs w:val="21"/>
        </w:rPr>
        <w:t xml:space="preserve">. In this study, we </w:t>
      </w:r>
      <w:r>
        <w:rPr>
          <w:rFonts w:ascii="Times New Roman" w:hAnsi="Times New Roman" w:cs="Times New Roman"/>
          <w:kern w:val="0"/>
          <w:szCs w:val="21"/>
        </w:rPr>
        <w:t>observed</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abnormal expression of oxidative stress factors, liver histopathology, behavioral changes, gene expression, and pathway regulation in CGS larvae after </w:t>
      </w:r>
      <w:r w:rsidR="00B43BFE">
        <w:rPr>
          <w:rFonts w:ascii="Times New Roman" w:hAnsi="Times New Roman" w:cs="Times New Roman"/>
          <w:kern w:val="0"/>
          <w:szCs w:val="21"/>
        </w:rPr>
        <w:t>1</w:t>
      </w:r>
      <w:r>
        <w:rPr>
          <w:rFonts w:ascii="Times New Roman" w:hAnsi="Times New Roman" w:cs="Times New Roman"/>
          <w:kern w:val="0"/>
          <w:szCs w:val="21"/>
        </w:rPr>
        <w:t xml:space="preserve"> week BF exposure, indicating</w:t>
      </w:r>
      <w:r w:rsidR="00037FF7" w:rsidRPr="00037FF7">
        <w:rPr>
          <w:rFonts w:ascii="Times New Roman" w:hAnsi="Times New Roman" w:cs="Times New Roman"/>
          <w:kern w:val="0"/>
          <w:szCs w:val="21"/>
        </w:rPr>
        <w:t xml:space="preserve"> </w:t>
      </w:r>
      <w:r w:rsidR="00037FF7">
        <w:rPr>
          <w:rFonts w:ascii="Times New Roman" w:hAnsi="Times New Roman" w:cs="Times New Roman"/>
          <w:kern w:val="0"/>
          <w:szCs w:val="21"/>
        </w:rPr>
        <w:t>multiple</w:t>
      </w:r>
      <w:r>
        <w:rPr>
          <w:rFonts w:ascii="Times New Roman" w:hAnsi="Times New Roman" w:cs="Times New Roman"/>
          <w:kern w:val="0"/>
          <w:szCs w:val="21"/>
        </w:rPr>
        <w:t xml:space="preserve"> toxic</w:t>
      </w:r>
      <w:r w:rsidR="005A0F48">
        <w:rPr>
          <w:rFonts w:ascii="Times New Roman" w:hAnsi="Times New Roman" w:cs="Times New Roman"/>
          <w:kern w:val="0"/>
          <w:szCs w:val="21"/>
        </w:rPr>
        <w:t>ity</w:t>
      </w:r>
      <w:r>
        <w:rPr>
          <w:rFonts w:ascii="Times New Roman" w:hAnsi="Times New Roman" w:cs="Times New Roman"/>
          <w:kern w:val="0"/>
          <w:szCs w:val="21"/>
        </w:rPr>
        <w:t>.</w:t>
      </w:r>
      <w:bookmarkStart w:id="7" w:name="bbb0020"/>
      <w:bookmarkEnd w:id="7"/>
    </w:p>
    <w:p w14:paraId="6D9A5B2E" w14:textId="77777777" w:rsidR="006B4D01" w:rsidRDefault="006B4D01" w:rsidP="0083523B">
      <w:pPr>
        <w:pStyle w:val="af"/>
        <w:numPr>
          <w:ilvl w:val="1"/>
          <w:numId w:val="1"/>
        </w:numPr>
        <w:suppressAutoHyphens/>
        <w:adjustRightInd w:val="0"/>
        <w:snapToGrid w:val="0"/>
        <w:spacing w:line="480" w:lineRule="auto"/>
        <w:ind w:left="357" w:firstLineChars="0" w:hanging="357"/>
        <w:rPr>
          <w:rFonts w:ascii="Times New Roman" w:hAnsi="Times New Roman" w:cs="Times New Roman"/>
          <w:szCs w:val="21"/>
        </w:rPr>
      </w:pPr>
      <w:r>
        <w:rPr>
          <w:rFonts w:ascii="Times New Roman" w:hAnsi="Times New Roman" w:cs="Times New Roman"/>
          <w:szCs w:val="21"/>
        </w:rPr>
        <w:t>Effects of BF on the acute toxicity of CGS larvae</w:t>
      </w:r>
    </w:p>
    <w:p w14:paraId="55A8E7C6" w14:textId="77777777" w:rsidR="006B4D01" w:rsidRPr="00FC3758" w:rsidRDefault="006B4D01" w:rsidP="0083523B">
      <w:pPr>
        <w:adjustRightInd w:val="0"/>
        <w:snapToGrid w:val="0"/>
        <w:spacing w:line="480" w:lineRule="auto"/>
        <w:ind w:firstLineChars="200" w:firstLine="420"/>
        <w:rPr>
          <w:rFonts w:ascii="Times New Roman" w:hAnsi="Times New Roman" w:cs="Times New Roman"/>
          <w:kern w:val="0"/>
          <w:szCs w:val="21"/>
        </w:rPr>
      </w:pPr>
      <w:r>
        <w:rPr>
          <w:rFonts w:ascii="Times New Roman" w:hAnsi="Times New Roman" w:cs="Times New Roman" w:hint="eastAsia"/>
          <w:kern w:val="0"/>
          <w:szCs w:val="21"/>
        </w:rPr>
        <w:t xml:space="preserve">Pyrethroid insecticide exposure is highly toxic to fish, </w:t>
      </w:r>
      <w:r>
        <w:rPr>
          <w:rFonts w:ascii="Times New Roman" w:hAnsi="Times New Roman" w:cs="Times New Roman"/>
          <w:kern w:val="0"/>
          <w:szCs w:val="21"/>
        </w:rPr>
        <w:t xml:space="preserve">partly </w:t>
      </w:r>
      <w:r>
        <w:rPr>
          <w:rFonts w:ascii="Times New Roman" w:hAnsi="Times New Roman" w:cs="Times New Roman" w:hint="eastAsia"/>
          <w:kern w:val="0"/>
          <w:szCs w:val="21"/>
        </w:rPr>
        <w:t xml:space="preserve">due to </w:t>
      </w:r>
      <w:r>
        <w:rPr>
          <w:rFonts w:ascii="Times New Roman" w:hAnsi="Times New Roman" w:cs="Times New Roman"/>
          <w:kern w:val="0"/>
          <w:szCs w:val="21"/>
        </w:rPr>
        <w:t xml:space="preserve">the high absorption and slow hydrolysis rates in fish gills, but mainly due to the hypersensitivity of the nervous systems of fish to those pesticides </w:t>
      </w:r>
      <w:r>
        <w:rPr>
          <w:rFonts w:ascii="Times New Roman" w:hAnsi="Times New Roman" w:cs="Times New Roman"/>
          <w:kern w:val="0"/>
          <w:szCs w:val="21"/>
        </w:rPr>
        <w:fldChar w:fldCharType="begin" w:fldLock="1"/>
      </w:r>
      <w:r>
        <w:rPr>
          <w:rFonts w:ascii="Times New Roman" w:hAnsi="Times New Roman" w:cs="Times New Roman"/>
          <w:kern w:val="0"/>
          <w:szCs w:val="21"/>
        </w:rPr>
        <w:instrText>ADDIN CSL_CITATION {"citationItems":[{"id":"ITEM-1","itemData":{"DOI":"10.1007/s10499-005-0615-5","ISSN":"1573143X","abstract":"In this study, the toxic effects on the embryos and larvae of the common carp were used as a model to investigate the synthetic pyrethroid pesticide, cypermethrin, which contaminates aquatic ecosystems. Data obtained from the cypermethrin acute toxicity tests were evaluated using the Probit Analysis Statistical Method. The control and eight test experiments were repeated five times. The number of dead embryos significantly increased in response to cypermethrin concentrations 0.0001, 0.001, 0.01, 0.1, 1, 2, 4 and 8 μg l 1 (p &lt;0.05 for each case). The 48 h LC 50 value (with 95% confidence limits) of cypermethrin for common carp embryos was estimated at 0.909 (0.256-5.074) μg l 1 . Dose-response decreases in hatching success were recorded as 87.4, 85.0, 80.2, 71.4, 56.3, 48.6, 38.8 and 23.5%, respectively. The lowest concentration of cypermethrin (0.0001 μg l 1 ) produced a significant increase in the number of dead larvae compared to the control group (p &lt; 0.05). The number of dead larvae significantly increased with increasing cypermethrin concentrations exposed for 1-96 h (p &lt;0.05). The highest concentration (8 μg l 1 ) showed the highest larvae mortality. The 96 h LC 50 value (with 95% confidence limits) of cypermethrin for common carp larvae was estimated at 0.809 (0.530-1.308) μg l 1 . The results of the study suggest that low levels of cypermethrin in the aquatic environment may have a significant effect on the reproduction and development of carp. © Springer 2005.","author":[{"dropping-particle":"","family":"Aydın","given":"Rahmi","non-dropping-particle":"","parse-names":false,"suffix":""},{"dropping-particle":"","family":"K</w:instrText>
      </w:r>
      <w:r>
        <w:rPr>
          <w:rFonts w:ascii="Times New Roman" w:hAnsi="Times New Roman" w:cs="Times New Roman" w:hint="eastAsia"/>
          <w:kern w:val="0"/>
          <w:szCs w:val="21"/>
        </w:rPr>
        <w:instrText>ö</w:instrText>
      </w:r>
      <w:r>
        <w:rPr>
          <w:rFonts w:ascii="Times New Roman" w:hAnsi="Times New Roman" w:cs="Times New Roman"/>
          <w:kern w:val="0"/>
          <w:szCs w:val="21"/>
        </w:rPr>
        <w:instrText>prücü","given":"Kenan","non-dropping-particle":"","parse-names":false,"suffix":""},{"dropping-particle":"","family":"Dörücü","given":"Mustafa","non-dropping-particle":"","parse-names":false,"suffix":""},{"dropping-particle":"","family":"Köprücü","given":"Sibel Şimşek","non-dropping-particle":"","parse-names":false,"suffix":""},{"dropping-particle":"","family":"Pala","given":"Murat","non-dropping-particle":"","parse-names":false,"suffix":""}],"container-title":"Aquaculture International","id":"ITEM-1","issue":"5","issued":{"date-parts":[["2005"]]},"page":"451-458","title":"Acute toxicity of synthetic pyrethroid cypermethrin on the common carp (Cyprinus carpio L.) embryos and larvae","type":"article-journal","volume":"13"},"uris":["http://www.mendeley.com/documents/?uuid=07154bfa-637b-48fa-b851-d3663760c39b"]}],"mendeley":{"formattedCitation":"(Aydın et al., 2005)","plainTextFormattedCitation":"(Aydın et al., 2005)","previouslyFormattedCitation":"(Aydın et al., 2005)"},"properties":{"noteIndex":0},"schema":"https://github.com/citation-style-language/schema/raw/master/csl-citation.json"}</w:instrText>
      </w:r>
      <w:r>
        <w:rPr>
          <w:rFonts w:ascii="Times New Roman" w:hAnsi="Times New Roman" w:cs="Times New Roman"/>
          <w:kern w:val="0"/>
          <w:szCs w:val="21"/>
        </w:rPr>
        <w:fldChar w:fldCharType="separate"/>
      </w:r>
      <w:r w:rsidRPr="00105E1A">
        <w:rPr>
          <w:rFonts w:ascii="Times New Roman" w:hAnsi="Times New Roman" w:cs="Times New Roman"/>
          <w:noProof/>
          <w:kern w:val="0"/>
          <w:szCs w:val="21"/>
        </w:rPr>
        <w:t>(Aydın et al., 2005)</w:t>
      </w:r>
      <w:r>
        <w:rPr>
          <w:rFonts w:ascii="Times New Roman" w:hAnsi="Times New Roman" w:cs="Times New Roman"/>
          <w:kern w:val="0"/>
          <w:szCs w:val="21"/>
        </w:rPr>
        <w:fldChar w:fldCharType="end"/>
      </w:r>
      <w:r>
        <w:rPr>
          <w:rFonts w:ascii="Times New Roman" w:hAnsi="Times New Roman" w:cs="Times New Roman"/>
          <w:kern w:val="0"/>
          <w:szCs w:val="21"/>
        </w:rPr>
        <w:t xml:space="preserve">. </w:t>
      </w:r>
      <w:r w:rsidRPr="00FC3758">
        <w:rPr>
          <w:rFonts w:ascii="Times New Roman" w:hAnsi="Times New Roman" w:cs="Times New Roman"/>
          <w:kern w:val="0"/>
          <w:szCs w:val="21"/>
        </w:rPr>
        <w:t xml:space="preserve">In </w:t>
      </w:r>
      <w:r>
        <w:rPr>
          <w:rFonts w:ascii="Times New Roman" w:hAnsi="Times New Roman" w:cs="Times New Roman"/>
          <w:kern w:val="0"/>
          <w:szCs w:val="21"/>
        </w:rPr>
        <w:t>present</w:t>
      </w:r>
      <w:r w:rsidRPr="00FC3758">
        <w:rPr>
          <w:rFonts w:ascii="Times New Roman" w:hAnsi="Times New Roman" w:cs="Times New Roman"/>
          <w:kern w:val="0"/>
          <w:szCs w:val="21"/>
        </w:rPr>
        <w:t xml:space="preserve"> study, </w:t>
      </w:r>
      <w:r>
        <w:rPr>
          <w:rFonts w:ascii="Times New Roman" w:hAnsi="Times New Roman" w:cs="Times New Roman" w:hint="eastAsia"/>
          <w:kern w:val="0"/>
          <w:szCs w:val="21"/>
        </w:rPr>
        <w:t xml:space="preserve">CGS larvae exposed to </w:t>
      </w:r>
      <w:r>
        <w:rPr>
          <w:rFonts w:ascii="Times New Roman" w:hAnsi="Times New Roman" w:cs="Times New Roman"/>
          <w:kern w:val="0"/>
          <w:szCs w:val="21"/>
        </w:rPr>
        <w:t>BF</w:t>
      </w:r>
      <w:r>
        <w:rPr>
          <w:rFonts w:ascii="Times New Roman" w:hAnsi="Times New Roman" w:cs="Times New Roman" w:hint="eastAsia"/>
          <w:kern w:val="0"/>
          <w:szCs w:val="21"/>
        </w:rPr>
        <w:t xml:space="preserve"> exhibited </w:t>
      </w:r>
      <w:r w:rsidRPr="00FC3758">
        <w:rPr>
          <w:rFonts w:ascii="Times New Roman" w:hAnsi="Times New Roman" w:cs="Times New Roman"/>
          <w:kern w:val="0"/>
          <w:szCs w:val="21"/>
        </w:rPr>
        <w:t>grayish</w:t>
      </w:r>
      <w:r>
        <w:rPr>
          <w:rFonts w:ascii="Times New Roman" w:hAnsi="Times New Roman" w:cs="Times New Roman" w:hint="eastAsia"/>
          <w:kern w:val="0"/>
          <w:szCs w:val="21"/>
        </w:rPr>
        <w:t xml:space="preserve">-white gill, extremely active behavior at the beginning of </w:t>
      </w:r>
      <w:r>
        <w:rPr>
          <w:rFonts w:ascii="Times New Roman" w:hAnsi="Times New Roman" w:cs="Times New Roman"/>
          <w:kern w:val="0"/>
          <w:szCs w:val="21"/>
        </w:rPr>
        <w:t xml:space="preserve">exposure, </w:t>
      </w:r>
      <w:r>
        <w:rPr>
          <w:rFonts w:ascii="Times New Roman" w:hAnsi="Times New Roman" w:cs="Times New Roman" w:hint="eastAsia"/>
          <w:kern w:val="0"/>
          <w:szCs w:val="21"/>
        </w:rPr>
        <w:t>body convulsion</w:t>
      </w:r>
      <w:r w:rsidRPr="00FC3758">
        <w:rPr>
          <w:rFonts w:ascii="Times New Roman" w:hAnsi="Times New Roman" w:cs="Times New Roman"/>
          <w:kern w:val="0"/>
          <w:szCs w:val="21"/>
        </w:rPr>
        <w:t>s and imbalances</w:t>
      </w:r>
      <w:r>
        <w:rPr>
          <w:rFonts w:ascii="Times New Roman" w:hAnsi="Times New Roman" w:cs="Times New Roman"/>
          <w:kern w:val="0"/>
          <w:szCs w:val="21"/>
        </w:rPr>
        <w:t>. Moreover,</w:t>
      </w:r>
      <w:r>
        <w:rPr>
          <w:rFonts w:ascii="Times New Roman" w:hAnsi="Times New Roman" w:cs="Times New Roman" w:hint="eastAsia"/>
          <w:kern w:val="0"/>
          <w:szCs w:val="21"/>
        </w:rPr>
        <w:t xml:space="preserve"> </w:t>
      </w:r>
      <w:r>
        <w:rPr>
          <w:rFonts w:ascii="Times New Roman" w:hAnsi="Times New Roman" w:cs="Times New Roman"/>
          <w:kern w:val="0"/>
          <w:szCs w:val="21"/>
        </w:rPr>
        <w:t>exposed CGS larvae moved slow</w:t>
      </w:r>
      <w:r w:rsidRPr="00FC3758">
        <w:rPr>
          <w:rFonts w:ascii="Times New Roman" w:hAnsi="Times New Roman" w:cs="Times New Roman"/>
          <w:kern w:val="0"/>
          <w:szCs w:val="21"/>
        </w:rPr>
        <w:t>ly</w:t>
      </w:r>
      <w:r>
        <w:rPr>
          <w:rFonts w:ascii="Times New Roman" w:hAnsi="Times New Roman" w:cs="Times New Roman"/>
          <w:kern w:val="0"/>
          <w:szCs w:val="21"/>
        </w:rPr>
        <w:t>,</w:t>
      </w:r>
      <w:r>
        <w:rPr>
          <w:rFonts w:ascii="Times New Roman" w:hAnsi="Times New Roman" w:cs="Times New Roman" w:hint="eastAsia"/>
          <w:kern w:val="0"/>
          <w:szCs w:val="21"/>
        </w:rPr>
        <w:t xml:space="preserve"> bod</w:t>
      </w:r>
      <w:r>
        <w:rPr>
          <w:rFonts w:ascii="Times New Roman" w:hAnsi="Times New Roman" w:cs="Times New Roman"/>
          <w:kern w:val="0"/>
          <w:szCs w:val="21"/>
        </w:rPr>
        <w:t>ies</w:t>
      </w:r>
      <w:r>
        <w:rPr>
          <w:rFonts w:ascii="Times New Roman" w:hAnsi="Times New Roman" w:cs="Times New Roman" w:hint="eastAsia"/>
          <w:kern w:val="0"/>
          <w:szCs w:val="21"/>
        </w:rPr>
        <w:t xml:space="preserve"> twisted and stiff</w:t>
      </w:r>
      <w:r w:rsidRPr="00FC3758">
        <w:rPr>
          <w:rFonts w:ascii="Times New Roman" w:hAnsi="Times New Roman" w:cs="Times New Roman"/>
          <w:kern w:val="0"/>
          <w:szCs w:val="21"/>
        </w:rPr>
        <w:t>ened</w:t>
      </w:r>
      <w:r>
        <w:rPr>
          <w:rFonts w:ascii="Times New Roman" w:hAnsi="Times New Roman" w:cs="Times New Roman"/>
          <w:kern w:val="0"/>
          <w:szCs w:val="21"/>
        </w:rPr>
        <w:t xml:space="preserve"> </w:t>
      </w:r>
      <w:r w:rsidRPr="00FC3758">
        <w:rPr>
          <w:rFonts w:ascii="Times New Roman" w:hAnsi="Times New Roman" w:cs="Times New Roman"/>
          <w:kern w:val="0"/>
          <w:szCs w:val="21"/>
        </w:rPr>
        <w:t xml:space="preserve">in the </w:t>
      </w:r>
      <w:r w:rsidRPr="00FC3758">
        <w:rPr>
          <w:rFonts w:ascii="Times New Roman" w:hAnsi="Times New Roman" w:cs="Times New Roman"/>
          <w:kern w:val="0"/>
          <w:szCs w:val="21"/>
        </w:rPr>
        <w:lastRenderedPageBreak/>
        <w:t>later stages of the experiment</w:t>
      </w:r>
      <w:r>
        <w:rPr>
          <w:rFonts w:ascii="Times New Roman" w:hAnsi="Times New Roman" w:cs="Times New Roman" w:hint="eastAsia"/>
          <w:kern w:val="0"/>
          <w:szCs w:val="21"/>
        </w:rPr>
        <w:t xml:space="preserve">. </w:t>
      </w:r>
      <w:r w:rsidRPr="00F85C2E">
        <w:rPr>
          <w:rFonts w:ascii="Times New Roman" w:hAnsi="Times New Roman" w:cs="Times New Roman"/>
          <w:kern w:val="0"/>
          <w:szCs w:val="21"/>
        </w:rPr>
        <w:t xml:space="preserve">The zebrafish exposed to </w:t>
      </w:r>
      <w:proofErr w:type="spellStart"/>
      <w:r>
        <w:rPr>
          <w:rFonts w:ascii="Times New Roman" w:hAnsi="Times New Roman" w:cs="Times New Roman"/>
          <w:kern w:val="0"/>
          <w:szCs w:val="21"/>
        </w:rPr>
        <w:t>decabromodiphenyl</w:t>
      </w:r>
      <w:proofErr w:type="spellEnd"/>
      <w:r>
        <w:rPr>
          <w:rFonts w:ascii="Times New Roman" w:hAnsi="Times New Roman" w:cs="Times New Roman"/>
          <w:kern w:val="0"/>
          <w:szCs w:val="21"/>
        </w:rPr>
        <w:t xml:space="preserve"> ethane</w:t>
      </w:r>
      <w:r w:rsidRPr="00F85C2E">
        <w:rPr>
          <w:rFonts w:ascii="Times New Roman" w:hAnsi="Times New Roman" w:cs="Times New Roman"/>
          <w:kern w:val="0"/>
          <w:szCs w:val="21"/>
        </w:rPr>
        <w:t xml:space="preserve"> </w:t>
      </w:r>
      <w:r>
        <w:rPr>
          <w:rFonts w:ascii="Times New Roman" w:hAnsi="Times New Roman" w:cs="Times New Roman"/>
          <w:kern w:val="0"/>
          <w:szCs w:val="21"/>
        </w:rPr>
        <w:t>(</w:t>
      </w:r>
      <w:r w:rsidRPr="00F85C2E">
        <w:rPr>
          <w:rFonts w:ascii="Times New Roman" w:hAnsi="Times New Roman" w:cs="Times New Roman"/>
          <w:kern w:val="0"/>
          <w:szCs w:val="21"/>
        </w:rPr>
        <w:t>DBDPE</w:t>
      </w:r>
      <w:r>
        <w:rPr>
          <w:rFonts w:ascii="Times New Roman" w:hAnsi="Times New Roman" w:cs="Times New Roman"/>
          <w:kern w:val="0"/>
          <w:szCs w:val="21"/>
        </w:rPr>
        <w:t>)</w:t>
      </w:r>
      <w:r w:rsidRPr="00F85C2E">
        <w:rPr>
          <w:rFonts w:ascii="Times New Roman" w:hAnsi="Times New Roman" w:cs="Times New Roman"/>
          <w:kern w:val="0"/>
          <w:szCs w:val="21"/>
        </w:rPr>
        <w:t xml:space="preserve"> showed similar phenomenon of significant decreases in moving distance and moving speed, suggesting that the calcium homeostasis in vivo was damaged, which affected the calcium signaling pathway and the changes in muscle related proteins, interfered with the muscle contraction function, and then changed the locomotion behavior of zebrafish</w:t>
      </w:r>
      <w:r w:rsidRPr="0020187D">
        <w:rPr>
          <w:rFonts w:ascii="Times New Roman" w:hAnsi="Times New Roman" w:cs="Times New Roman" w:hint="eastAsia"/>
          <w:kern w:val="0"/>
          <w:szCs w:val="21"/>
        </w:rPr>
        <w:t xml:space="preserve"> </w:t>
      </w:r>
      <w:r>
        <w:rPr>
          <w:rFonts w:ascii="Times New Roman" w:hAnsi="Times New Roman" w:cs="Times New Roman"/>
          <w:kern w:val="0"/>
          <w:szCs w:val="21"/>
          <w:vertAlign w:val="superscript"/>
        </w:rPr>
        <w:fldChar w:fldCharType="begin" w:fldLock="1"/>
      </w:r>
      <w:r>
        <w:rPr>
          <w:rFonts w:ascii="Times New Roman" w:hAnsi="Times New Roman" w:cs="Times New Roman"/>
          <w:kern w:val="0"/>
          <w:szCs w:val="21"/>
          <w:vertAlign w:val="superscript"/>
        </w:rPr>
        <w:instrText>ADDIN CSL_CITATION {"citationItems":[{"id":"ITEM-1","itemData":{"DOI":"10.1021/acs.est.1c06679","ISSN":"15205851","PMID":"34919388","abstract":"The novel brominated flame retardant decabromodiphenyl ethane (DBDPE) has become a widespread environmental pollutant. However, the target tissue and toxicity of DBDPE are still not clear. In the current study, female zebrafish were exposed to 1 and 100 nM DBDPE for 28 days. Chemical analysis revealed that DBDPE tended to accumulate in the brain other than the liver and gonad. Subsequently, tandem mass tag-based quantitative proteomics and parallel reaction monitoring verification were performed to screen the differentially expressed proteins in the brain. Bioinformatics analysis revealed that DBDPE mainly affected the biological process related to muscle contraction and estrogenic response. Therefore, the neurotoxicity and reproductive disruptions were validated via multilevel toxicological endpoints. Specifically, locomotor behavioral changes proved the potency of neurotoxicity, which may be caused by disturbance of muscular proteins and calcium homeostasis; decreases of sex hormone levels and transcriptional changes of genes related to the hypothalamic-pituitary-gonad-liver axis confirmed reproductive disruptions upon DBDPE exposure. In summary, our results suggested that DBDPE primarily accumulated in the brain and evoked neurotoxicity and reproductive disruptions in female zebrafish. These findings can provide important clues for a further mechanism study and risk assessment of DBDPE.","author":[{"dropping-particle":"","family":"Sun","given":"Yumiao","non-dropping-particle":"","parse-names":false,"suffix":""},{"dropping-particle":"","family":"Zhu","given":"Biran","non-dropping-particle":"","parse-names":false,"suffix":""},{"dropping-particle":"","family":"Ling","given":"Siyuan","non-dropping-particle":"","parse-names":false,"suffix":""},{"dropping-particle":"","family":"Yan","given":"Biao","non-dropping-particle":"","parse-names":false,"suffix":""},{"dropping-particle":"","family":"Wang","given":"Xiulin","non-dropping-particle":"","parse-names":false,"suffix":""},{"dropping-particle":"","family":"Jia","given":"Shuzhao","non-dropping-particle":"","parse-names":false,"suffix":""},{"dropping-particle":"","family":"Martyniuk","given":"Christopher J.","non-dropping-particle":"","parse-names":false,"suffix":""},{"dropping-particle":"","family":"Zhang","given":"Wei","non-dropping-particle":"","parse-names":false,"suffix":""},{"dropping-particle":"","family":"Yang","given":"Lihua","non-dropping-particle":"","parse-names":false,"suffix":""},{"dropping-particle":"","family":"Zhou","given":"Bingsheng","non-dropping-particle":"","parse-names":false,"suffix":""}],"container-title":"Environmental Science and Technology","id":"ITEM-1","issue":"1","issued":{"date-parts":[["2022"]]},"page":"470-479","title":"Decabromodiphenyl Ethane Mainly Affected the Muscle Contraction and Reproductive Endocrine System in Female Adult Zebrafish","type":"article-journal","volume":"56"},"uris":["http://www.mendeley.com/documents/?uuid=c3be064e-b0e8-4ebb-b297-7dfefdaab4ab"]}],"mendeley":{"formattedCitation":"(Sun et al., 2022)","plainTextFormattedCitation":"(Sun et al., 2022)","previouslyFormattedCitation":"(Sun et al., 2022)"},"properties":{"noteIndex":0},"schema":"https://github.com/citation-style-language/schema/raw/master/csl-citation.json"}</w:instrText>
      </w:r>
      <w:r>
        <w:rPr>
          <w:rFonts w:ascii="Times New Roman" w:hAnsi="Times New Roman" w:cs="Times New Roman"/>
          <w:kern w:val="0"/>
          <w:szCs w:val="21"/>
          <w:vertAlign w:val="superscript"/>
        </w:rPr>
        <w:fldChar w:fldCharType="separate"/>
      </w:r>
      <w:r w:rsidRPr="00105E1A">
        <w:rPr>
          <w:rFonts w:ascii="Times New Roman" w:hAnsi="Times New Roman" w:cs="Times New Roman"/>
          <w:noProof/>
          <w:kern w:val="0"/>
          <w:szCs w:val="21"/>
        </w:rPr>
        <w:t>(Sun et al., 2022)</w:t>
      </w:r>
      <w:r>
        <w:rPr>
          <w:rFonts w:ascii="Times New Roman" w:hAnsi="Times New Roman" w:cs="Times New Roman"/>
          <w:kern w:val="0"/>
          <w:szCs w:val="21"/>
          <w:vertAlign w:val="superscript"/>
        </w:rPr>
        <w:fldChar w:fldCharType="end"/>
      </w:r>
      <w:r>
        <w:rPr>
          <w:rFonts w:ascii="Times New Roman" w:hAnsi="Times New Roman" w:cs="Times New Roman" w:hint="eastAsia"/>
          <w:kern w:val="0"/>
          <w:szCs w:val="21"/>
        </w:rPr>
        <w:t xml:space="preserve">. In </w:t>
      </w:r>
      <w:r>
        <w:rPr>
          <w:rFonts w:ascii="Times New Roman" w:hAnsi="Times New Roman" w:cs="Times New Roman"/>
          <w:kern w:val="0"/>
          <w:szCs w:val="21"/>
        </w:rPr>
        <w:t>the present</w:t>
      </w:r>
      <w:r>
        <w:rPr>
          <w:rFonts w:ascii="Times New Roman" w:hAnsi="Times New Roman" w:cs="Times New Roman" w:hint="eastAsia"/>
          <w:kern w:val="0"/>
          <w:szCs w:val="21"/>
        </w:rPr>
        <w:t xml:space="preserve"> study, BF</w:t>
      </w:r>
      <w:r>
        <w:rPr>
          <w:rFonts w:ascii="Times New Roman" w:hAnsi="Times New Roman" w:cs="Times New Roman"/>
          <w:kern w:val="0"/>
          <w:szCs w:val="21"/>
        </w:rPr>
        <w:t xml:space="preserve"> induced the </w:t>
      </w:r>
      <w:r>
        <w:rPr>
          <w:rFonts w:ascii="Times New Roman" w:hAnsi="Times New Roman" w:cs="Times New Roman" w:hint="eastAsia"/>
          <w:kern w:val="0"/>
          <w:szCs w:val="21"/>
        </w:rPr>
        <w:t>gene</w:t>
      </w:r>
      <w:r>
        <w:rPr>
          <w:rFonts w:ascii="Times New Roman" w:hAnsi="Times New Roman" w:cs="Times New Roman"/>
          <w:kern w:val="0"/>
          <w:szCs w:val="21"/>
        </w:rPr>
        <w:t xml:space="preserve"> enrichment in CGS larvae liver</w:t>
      </w:r>
      <w:r>
        <w:rPr>
          <w:rFonts w:ascii="Times New Roman" w:hAnsi="Times New Roman" w:cs="Times New Roman" w:hint="eastAsia"/>
          <w:kern w:val="0"/>
          <w:szCs w:val="21"/>
        </w:rPr>
        <w:t xml:space="preserve"> related to metabolic, signaling</w:t>
      </w:r>
      <w:r w:rsidRPr="00FC3758">
        <w:rPr>
          <w:rFonts w:ascii="Times New Roman" w:hAnsi="Times New Roman" w:cs="Times New Roman"/>
          <w:kern w:val="0"/>
          <w:szCs w:val="21"/>
        </w:rPr>
        <w:t>, and immune system processes</w:t>
      </w:r>
      <w:r>
        <w:rPr>
          <w:rFonts w:ascii="Times New Roman" w:hAnsi="Times New Roman" w:cs="Times New Roman"/>
          <w:kern w:val="0"/>
          <w:szCs w:val="21"/>
        </w:rPr>
        <w:t>, especially</w:t>
      </w:r>
      <w:r w:rsidRPr="00FC3758">
        <w:rPr>
          <w:rFonts w:ascii="Times New Roman" w:hAnsi="Times New Roman" w:cs="Times New Roman"/>
          <w:kern w:val="0"/>
          <w:szCs w:val="21"/>
        </w:rPr>
        <w:t xml:space="preserve"> high BF </w:t>
      </w:r>
      <w:r>
        <w:rPr>
          <w:rFonts w:ascii="Times New Roman" w:hAnsi="Times New Roman" w:cs="Times New Roman" w:hint="eastAsia"/>
          <w:kern w:val="0"/>
          <w:szCs w:val="21"/>
        </w:rPr>
        <w:t>accelerate</w:t>
      </w:r>
      <w:r w:rsidRPr="00FC3758">
        <w:rPr>
          <w:rFonts w:ascii="Times New Roman" w:hAnsi="Times New Roman" w:cs="Times New Roman"/>
          <w:kern w:val="0"/>
          <w:szCs w:val="21"/>
        </w:rPr>
        <w:t xml:space="preserve"> the </w:t>
      </w:r>
      <w:r>
        <w:rPr>
          <w:rFonts w:ascii="Times New Roman" w:hAnsi="Times New Roman" w:cs="Times New Roman" w:hint="eastAsia"/>
          <w:kern w:val="0"/>
          <w:szCs w:val="21"/>
        </w:rPr>
        <w:t>abnormal upregulation of behavior</w:t>
      </w:r>
      <w:r w:rsidRPr="00FC3758">
        <w:rPr>
          <w:rFonts w:ascii="Times New Roman" w:hAnsi="Times New Roman" w:cs="Times New Roman"/>
          <w:kern w:val="0"/>
          <w:szCs w:val="21"/>
        </w:rPr>
        <w:t>al and detoxification genes,</w:t>
      </w:r>
      <w:r>
        <w:rPr>
          <w:rFonts w:ascii="Times New Roman" w:hAnsi="Times New Roman" w:cs="Times New Roman"/>
          <w:kern w:val="0"/>
          <w:szCs w:val="21"/>
        </w:rPr>
        <w:t xml:space="preserve"> resulting</w:t>
      </w:r>
      <w:r>
        <w:rPr>
          <w:rFonts w:ascii="Times New Roman" w:hAnsi="Times New Roman" w:cs="Times New Roman" w:hint="eastAsia"/>
          <w:kern w:val="0"/>
          <w:szCs w:val="21"/>
        </w:rPr>
        <w:t xml:space="preserve"> in </w:t>
      </w:r>
      <w:r>
        <w:rPr>
          <w:rFonts w:ascii="Times New Roman" w:hAnsi="Times New Roman" w:cs="Times New Roman"/>
          <w:kern w:val="0"/>
          <w:szCs w:val="21"/>
        </w:rPr>
        <w:t xml:space="preserve">the </w:t>
      </w:r>
      <w:r>
        <w:rPr>
          <w:rFonts w:ascii="Times New Roman" w:hAnsi="Times New Roman" w:cs="Times New Roman" w:hint="eastAsia"/>
          <w:kern w:val="0"/>
          <w:szCs w:val="21"/>
        </w:rPr>
        <w:t xml:space="preserve">abnormal </w:t>
      </w:r>
      <w:r>
        <w:rPr>
          <w:rFonts w:ascii="Times New Roman" w:hAnsi="Times New Roman" w:cs="Times New Roman"/>
          <w:kern w:val="0"/>
          <w:szCs w:val="21"/>
        </w:rPr>
        <w:t xml:space="preserve">gene </w:t>
      </w:r>
      <w:r>
        <w:rPr>
          <w:rFonts w:ascii="Times New Roman" w:hAnsi="Times New Roman" w:cs="Times New Roman" w:hint="eastAsia"/>
          <w:kern w:val="0"/>
          <w:szCs w:val="21"/>
        </w:rPr>
        <w:t xml:space="preserve">enrichment </w:t>
      </w:r>
      <w:r>
        <w:rPr>
          <w:rFonts w:ascii="Times New Roman" w:hAnsi="Times New Roman" w:cs="Times New Roman"/>
          <w:kern w:val="0"/>
          <w:szCs w:val="21"/>
        </w:rPr>
        <w:t xml:space="preserve">related to </w:t>
      </w:r>
      <w:r>
        <w:rPr>
          <w:rFonts w:ascii="Times New Roman" w:hAnsi="Times New Roman" w:cs="Times New Roman" w:hint="eastAsia"/>
          <w:kern w:val="0"/>
          <w:szCs w:val="21"/>
        </w:rPr>
        <w:t>calcium signaling pathway</w:t>
      </w:r>
      <w:r>
        <w:rPr>
          <w:rFonts w:ascii="Times New Roman" w:hAnsi="Times New Roman" w:cs="Times New Roman"/>
          <w:kern w:val="0"/>
          <w:szCs w:val="21"/>
        </w:rPr>
        <w:t>s</w:t>
      </w:r>
      <w:r>
        <w:rPr>
          <w:rFonts w:ascii="Times New Roman" w:hAnsi="Times New Roman" w:cs="Times New Roman" w:hint="eastAsia"/>
          <w:kern w:val="0"/>
          <w:szCs w:val="21"/>
        </w:rPr>
        <w:t xml:space="preserve">. Although </w:t>
      </w:r>
      <w:r>
        <w:rPr>
          <w:rFonts w:ascii="Times New Roman" w:hAnsi="Times New Roman" w:cs="Times New Roman"/>
          <w:kern w:val="0"/>
          <w:szCs w:val="21"/>
        </w:rPr>
        <w:t>only liver</w:t>
      </w:r>
      <w:r>
        <w:rPr>
          <w:rFonts w:ascii="Times New Roman" w:hAnsi="Times New Roman" w:cs="Times New Roman" w:hint="eastAsia"/>
          <w:kern w:val="0"/>
          <w:szCs w:val="21"/>
        </w:rPr>
        <w:t xml:space="preserve"> samples</w:t>
      </w:r>
      <w:r>
        <w:rPr>
          <w:rFonts w:ascii="Times New Roman" w:hAnsi="Times New Roman" w:cs="Times New Roman"/>
          <w:kern w:val="0"/>
          <w:szCs w:val="21"/>
        </w:rPr>
        <w:t xml:space="preserve"> were</w:t>
      </w:r>
      <w:r>
        <w:rPr>
          <w:rFonts w:ascii="Times New Roman" w:hAnsi="Times New Roman" w:cs="Times New Roman" w:hint="eastAsia"/>
          <w:kern w:val="0"/>
          <w:szCs w:val="21"/>
        </w:rPr>
        <w:t xml:space="preserve"> </w:t>
      </w:r>
      <w:r>
        <w:rPr>
          <w:rFonts w:ascii="Times New Roman" w:hAnsi="Times New Roman" w:cs="Times New Roman"/>
          <w:kern w:val="0"/>
          <w:szCs w:val="21"/>
        </w:rPr>
        <w:t>used for</w:t>
      </w:r>
      <w:r>
        <w:rPr>
          <w:rFonts w:ascii="Times New Roman" w:hAnsi="Times New Roman" w:cs="Times New Roman" w:hint="eastAsia"/>
          <w:kern w:val="0"/>
          <w:szCs w:val="21"/>
        </w:rPr>
        <w:t xml:space="preserve"> transcriptome </w:t>
      </w:r>
      <w:r>
        <w:rPr>
          <w:rFonts w:ascii="Times New Roman" w:hAnsi="Times New Roman" w:cs="Times New Roman"/>
          <w:kern w:val="0"/>
          <w:szCs w:val="21"/>
        </w:rPr>
        <w:t>analysis</w:t>
      </w:r>
      <w:r>
        <w:rPr>
          <w:rFonts w:ascii="Times New Roman" w:hAnsi="Times New Roman" w:cs="Times New Roman" w:hint="eastAsia"/>
          <w:kern w:val="0"/>
          <w:szCs w:val="21"/>
        </w:rPr>
        <w:t>,</w:t>
      </w:r>
      <w:r>
        <w:rPr>
          <w:rFonts w:ascii="Times New Roman" w:hAnsi="Times New Roman" w:cs="Times New Roman"/>
          <w:kern w:val="0"/>
          <w:szCs w:val="21"/>
        </w:rPr>
        <w:t xml:space="preserve"> unable</w:t>
      </w:r>
      <w:r>
        <w:rPr>
          <w:rFonts w:ascii="Times New Roman" w:hAnsi="Times New Roman" w:cs="Times New Roman" w:hint="eastAsia"/>
          <w:kern w:val="0"/>
          <w:szCs w:val="21"/>
        </w:rPr>
        <w:t xml:space="preserve"> directly</w:t>
      </w:r>
      <w:r w:rsidDel="00CF3BF1">
        <w:rPr>
          <w:rFonts w:ascii="Times New Roman" w:hAnsi="Times New Roman" w:cs="Times New Roman" w:hint="eastAsia"/>
          <w:kern w:val="0"/>
          <w:szCs w:val="21"/>
        </w:rPr>
        <w:t xml:space="preserve"> </w:t>
      </w:r>
      <w:r>
        <w:rPr>
          <w:rFonts w:ascii="Times New Roman" w:hAnsi="Times New Roman" w:cs="Times New Roman"/>
          <w:kern w:val="0"/>
          <w:szCs w:val="21"/>
        </w:rPr>
        <w:t>react the</w:t>
      </w:r>
      <w:r>
        <w:rPr>
          <w:rFonts w:ascii="Times New Roman" w:hAnsi="Times New Roman" w:cs="Times New Roman" w:hint="eastAsia"/>
          <w:kern w:val="0"/>
          <w:szCs w:val="21"/>
        </w:rPr>
        <w:t xml:space="preserve"> causes of</w:t>
      </w:r>
      <w:r>
        <w:rPr>
          <w:rFonts w:ascii="Times New Roman" w:hAnsi="Times New Roman" w:cs="Times New Roman"/>
          <w:kern w:val="0"/>
          <w:szCs w:val="21"/>
        </w:rPr>
        <w:t xml:space="preserve"> </w:t>
      </w:r>
      <w:r>
        <w:rPr>
          <w:rFonts w:ascii="Times New Roman" w:hAnsi="Times New Roman" w:cs="Times New Roman" w:hint="eastAsia"/>
          <w:kern w:val="0"/>
          <w:szCs w:val="21"/>
        </w:rPr>
        <w:t>body convulsion</w:t>
      </w:r>
      <w:r>
        <w:rPr>
          <w:rFonts w:ascii="Times New Roman" w:hAnsi="Times New Roman" w:cs="Times New Roman"/>
          <w:kern w:val="0"/>
          <w:szCs w:val="21"/>
        </w:rPr>
        <w:t>s</w:t>
      </w:r>
      <w:r>
        <w:rPr>
          <w:rFonts w:ascii="Times New Roman" w:hAnsi="Times New Roman" w:cs="Times New Roman" w:hint="eastAsia"/>
          <w:kern w:val="0"/>
          <w:szCs w:val="21"/>
        </w:rPr>
        <w:t xml:space="preserve"> and torsion stiffness</w:t>
      </w:r>
      <w:r>
        <w:rPr>
          <w:rFonts w:ascii="Times New Roman" w:hAnsi="Times New Roman" w:cs="Times New Roman"/>
          <w:kern w:val="0"/>
          <w:szCs w:val="21"/>
        </w:rPr>
        <w:t xml:space="preserve"> in</w:t>
      </w:r>
      <w:r>
        <w:rPr>
          <w:rFonts w:ascii="Times New Roman" w:hAnsi="Times New Roman" w:cs="Times New Roman" w:hint="eastAsia"/>
          <w:kern w:val="0"/>
          <w:szCs w:val="21"/>
        </w:rPr>
        <w:t xml:space="preserve"> </w:t>
      </w:r>
      <w:r>
        <w:rPr>
          <w:rFonts w:ascii="Times New Roman" w:hAnsi="Times New Roman" w:cs="Times New Roman"/>
          <w:kern w:val="0"/>
          <w:szCs w:val="21"/>
        </w:rPr>
        <w:t>CGS larvae</w:t>
      </w:r>
      <w:r>
        <w:rPr>
          <w:rFonts w:ascii="Times New Roman" w:hAnsi="Times New Roman" w:cs="Times New Roman" w:hint="eastAsia"/>
          <w:kern w:val="0"/>
          <w:szCs w:val="21"/>
        </w:rPr>
        <w:t xml:space="preserve"> </w:t>
      </w:r>
      <w:r>
        <w:rPr>
          <w:rFonts w:ascii="Times New Roman" w:hAnsi="Times New Roman" w:cs="Times New Roman"/>
          <w:kern w:val="0"/>
          <w:szCs w:val="21"/>
        </w:rPr>
        <w:t>affected</w:t>
      </w:r>
      <w:r>
        <w:rPr>
          <w:rFonts w:ascii="Times New Roman" w:hAnsi="Times New Roman" w:cs="Times New Roman" w:hint="eastAsia"/>
          <w:kern w:val="0"/>
          <w:szCs w:val="21"/>
        </w:rPr>
        <w:t xml:space="preserve"> by BF</w:t>
      </w:r>
      <w:r>
        <w:rPr>
          <w:rFonts w:ascii="Times New Roman" w:hAnsi="Times New Roman" w:cs="Times New Roman"/>
          <w:kern w:val="0"/>
          <w:szCs w:val="21"/>
        </w:rPr>
        <w:t>. However,</w:t>
      </w:r>
      <w:r>
        <w:rPr>
          <w:rFonts w:ascii="Times New Roman" w:hAnsi="Times New Roman" w:cs="Times New Roman" w:hint="eastAsia"/>
          <w:kern w:val="0"/>
          <w:szCs w:val="21"/>
        </w:rPr>
        <w:t xml:space="preserve"> a large </w:t>
      </w:r>
      <w:r>
        <w:rPr>
          <w:rFonts w:ascii="Times New Roman" w:hAnsi="Times New Roman" w:cs="Times New Roman"/>
          <w:kern w:val="0"/>
          <w:szCs w:val="21"/>
        </w:rPr>
        <w:t>number</w:t>
      </w:r>
      <w:r>
        <w:rPr>
          <w:rFonts w:ascii="Times New Roman" w:hAnsi="Times New Roman" w:cs="Times New Roman" w:hint="eastAsia"/>
          <w:kern w:val="0"/>
          <w:szCs w:val="21"/>
        </w:rPr>
        <w:t xml:space="preserve"> of enric</w:t>
      </w:r>
      <w:r>
        <w:rPr>
          <w:rFonts w:ascii="Times New Roman" w:hAnsi="Times New Roman" w:cs="Times New Roman"/>
          <w:kern w:val="0"/>
          <w:szCs w:val="21"/>
        </w:rPr>
        <w:t>hed</w:t>
      </w:r>
      <w:r>
        <w:rPr>
          <w:rFonts w:ascii="Times New Roman" w:hAnsi="Times New Roman" w:cs="Times New Roman" w:hint="eastAsia"/>
          <w:kern w:val="0"/>
          <w:szCs w:val="21"/>
        </w:rPr>
        <w:t xml:space="preserve"> genes related to the regulation of muscle contraction</w:t>
      </w:r>
      <w:r>
        <w:rPr>
          <w:rFonts w:ascii="Times New Roman" w:hAnsi="Times New Roman" w:cs="Times New Roman"/>
          <w:kern w:val="0"/>
          <w:szCs w:val="21"/>
        </w:rPr>
        <w:t>s</w:t>
      </w:r>
      <w:r>
        <w:rPr>
          <w:rFonts w:ascii="Times New Roman" w:hAnsi="Times New Roman" w:cs="Times New Roman" w:hint="eastAsia"/>
          <w:kern w:val="0"/>
          <w:szCs w:val="21"/>
        </w:rPr>
        <w:t xml:space="preserve"> </w:t>
      </w:r>
      <w:r>
        <w:rPr>
          <w:rFonts w:ascii="Times New Roman" w:hAnsi="Times New Roman" w:cs="Times New Roman"/>
          <w:kern w:val="0"/>
          <w:szCs w:val="21"/>
        </w:rPr>
        <w:t>were</w:t>
      </w:r>
      <w:r>
        <w:rPr>
          <w:rFonts w:ascii="Times New Roman" w:hAnsi="Times New Roman" w:cs="Times New Roman" w:hint="eastAsia"/>
          <w:kern w:val="0"/>
          <w:szCs w:val="21"/>
        </w:rPr>
        <w:t xml:space="preserve"> detected in liver tissue</w:t>
      </w:r>
      <w:r>
        <w:rPr>
          <w:rFonts w:ascii="Times New Roman" w:hAnsi="Times New Roman" w:cs="Times New Roman"/>
          <w:kern w:val="0"/>
          <w:szCs w:val="21"/>
        </w:rPr>
        <w:t>, suggesting</w:t>
      </w:r>
      <w:r>
        <w:rPr>
          <w:rFonts w:ascii="Times New Roman" w:hAnsi="Times New Roman" w:cs="Times New Roman" w:hint="eastAsia"/>
          <w:kern w:val="0"/>
          <w:szCs w:val="21"/>
        </w:rPr>
        <w:t xml:space="preserve"> that BF might be one of the </w:t>
      </w:r>
      <w:r>
        <w:rPr>
          <w:rFonts w:ascii="Times New Roman" w:hAnsi="Times New Roman" w:cs="Times New Roman"/>
          <w:kern w:val="0"/>
          <w:szCs w:val="21"/>
        </w:rPr>
        <w:t>reasons</w:t>
      </w:r>
      <w:r>
        <w:rPr>
          <w:rFonts w:ascii="Times New Roman" w:hAnsi="Times New Roman" w:cs="Times New Roman" w:hint="eastAsia"/>
          <w:kern w:val="0"/>
          <w:szCs w:val="21"/>
        </w:rPr>
        <w:t xml:space="preserve"> for </w:t>
      </w:r>
      <w:r>
        <w:rPr>
          <w:rFonts w:ascii="Times New Roman" w:hAnsi="Times New Roman" w:cs="Times New Roman"/>
          <w:kern w:val="0"/>
          <w:szCs w:val="21"/>
        </w:rPr>
        <w:t xml:space="preserve">the </w:t>
      </w:r>
      <w:r>
        <w:rPr>
          <w:rFonts w:ascii="Times New Roman" w:hAnsi="Times New Roman" w:cs="Times New Roman" w:hint="eastAsia"/>
          <w:kern w:val="0"/>
          <w:szCs w:val="21"/>
        </w:rPr>
        <w:t>abnormal behavior of CGS larvae.</w:t>
      </w:r>
      <w:r>
        <w:rPr>
          <w:rFonts w:ascii="Times New Roman" w:hAnsi="Times New Roman" w:cs="Times New Roman"/>
          <w:kern w:val="0"/>
          <w:szCs w:val="21"/>
        </w:rPr>
        <w:t xml:space="preserve"> Overall, this study highlights the toxic effects of BF exposure on CGS larvae and suggests potential mechanisms underlying the observed behavioral abnormalities. Further research is needed to elucidate the direct causes of body convulsions and torsion stiffness and to explore the effects of BF exposure on CGS larvae more comprehensively.</w:t>
      </w:r>
    </w:p>
    <w:p w14:paraId="088290C8" w14:textId="77777777" w:rsidR="00950088" w:rsidRDefault="00000000" w:rsidP="00CA7024">
      <w:pPr>
        <w:pStyle w:val="af"/>
        <w:numPr>
          <w:ilvl w:val="1"/>
          <w:numId w:val="1"/>
        </w:numPr>
        <w:suppressAutoHyphens/>
        <w:adjustRightInd w:val="0"/>
        <w:snapToGrid w:val="0"/>
        <w:spacing w:line="480" w:lineRule="auto"/>
        <w:ind w:left="0" w:firstLineChars="0" w:firstLine="0"/>
        <w:rPr>
          <w:rFonts w:ascii="Times New Roman" w:hAnsi="Times New Roman" w:cs="Times New Roman"/>
          <w:kern w:val="0"/>
          <w:szCs w:val="21"/>
        </w:rPr>
      </w:pPr>
      <w:r>
        <w:rPr>
          <w:rFonts w:ascii="Times New Roman" w:hAnsi="Times New Roman" w:cs="Times New Roman"/>
          <w:kern w:val="0"/>
          <w:szCs w:val="21"/>
        </w:rPr>
        <w:t>Effects of BF on oxidative stress in CGS larvae</w:t>
      </w:r>
    </w:p>
    <w:p w14:paraId="13F8FC96" w14:textId="26F7932E" w:rsidR="00950088" w:rsidRPr="0083523B" w:rsidRDefault="000C5CF2" w:rsidP="00CA7024">
      <w:pPr>
        <w:suppressAutoHyphens/>
        <w:adjustRightInd w:val="0"/>
        <w:snapToGrid w:val="0"/>
        <w:spacing w:line="480" w:lineRule="auto"/>
        <w:ind w:firstLineChars="200" w:firstLine="420"/>
        <w:rPr>
          <w:rFonts w:ascii="Times New Roman" w:hAnsi="Times New Roman" w:cs="Times New Roman"/>
          <w:kern w:val="0"/>
          <w:szCs w:val="21"/>
        </w:rPr>
      </w:pPr>
      <w:r>
        <w:rPr>
          <w:rFonts w:ascii="Times New Roman" w:hAnsi="Times New Roman" w:cs="Times New Roman"/>
          <w:kern w:val="0"/>
          <w:szCs w:val="21"/>
        </w:rPr>
        <w:t>In general, t</w:t>
      </w:r>
      <w:r>
        <w:rPr>
          <w:rFonts w:ascii="Times New Roman" w:hAnsi="Times New Roman" w:cs="Times New Roman" w:hint="eastAsia"/>
          <w:kern w:val="0"/>
          <w:szCs w:val="21"/>
        </w:rPr>
        <w:t xml:space="preserve">he generation and elimination of ROS in organisms </w:t>
      </w:r>
      <w:r>
        <w:rPr>
          <w:rFonts w:ascii="Times New Roman" w:hAnsi="Times New Roman" w:cs="Times New Roman"/>
          <w:kern w:val="0"/>
          <w:szCs w:val="21"/>
        </w:rPr>
        <w:t>maintain</w:t>
      </w:r>
      <w:r>
        <w:rPr>
          <w:rFonts w:ascii="Times New Roman" w:hAnsi="Times New Roman" w:cs="Times New Roman" w:hint="eastAsia"/>
          <w:kern w:val="0"/>
          <w:szCs w:val="21"/>
        </w:rPr>
        <w:t xml:space="preserve"> a dynamic balance</w:t>
      </w:r>
      <w:r w:rsidR="007A688C">
        <w:rPr>
          <w:rFonts w:ascii="Times New Roman" w:hAnsi="Times New Roman" w:cs="Times New Roman"/>
          <w:kern w:val="0"/>
          <w:szCs w:val="21"/>
        </w:rPr>
        <w:t>,</w:t>
      </w:r>
      <w:r>
        <w:rPr>
          <w:rFonts w:ascii="Times New Roman" w:hAnsi="Times New Roman" w:cs="Times New Roman" w:hint="eastAsia"/>
          <w:kern w:val="0"/>
          <w:szCs w:val="21"/>
        </w:rPr>
        <w:t xml:space="preserve"> a</w:t>
      </w:r>
      <w:r>
        <w:rPr>
          <w:rFonts w:ascii="Times New Roman" w:hAnsi="Times New Roman" w:cs="Times New Roman"/>
          <w:kern w:val="0"/>
          <w:szCs w:val="21"/>
        </w:rPr>
        <w:t>bnormal</w:t>
      </w:r>
      <w:r>
        <w:rPr>
          <w:rFonts w:ascii="Times New Roman" w:hAnsi="Times New Roman" w:cs="Times New Roman" w:hint="eastAsia"/>
          <w:kern w:val="0"/>
          <w:szCs w:val="21"/>
        </w:rPr>
        <w:t xml:space="preserve"> ROS caus</w:t>
      </w:r>
      <w:r w:rsidR="006F464C">
        <w:rPr>
          <w:rFonts w:ascii="Times New Roman" w:hAnsi="Times New Roman" w:cs="Times New Roman"/>
          <w:kern w:val="0"/>
          <w:szCs w:val="21"/>
        </w:rPr>
        <w:t>ing</w:t>
      </w:r>
      <w:r>
        <w:rPr>
          <w:rFonts w:ascii="Times New Roman" w:hAnsi="Times New Roman" w:cs="Times New Roman" w:hint="eastAsia"/>
          <w:kern w:val="0"/>
          <w:szCs w:val="21"/>
        </w:rPr>
        <w:t xml:space="preserve"> oxidative stress</w:t>
      </w:r>
      <w:r w:rsidR="001F6751">
        <w:rPr>
          <w:rFonts w:ascii="Times New Roman" w:hAnsi="Times New Roman" w:cs="Times New Roman"/>
          <w:kern w:val="0"/>
          <w:szCs w:val="21"/>
        </w:rPr>
        <w:t xml:space="preserve"> </w:t>
      </w:r>
      <w:r w:rsidR="00A3134A" w:rsidRPr="0083523B">
        <w:rPr>
          <w:rFonts w:ascii="Times New Roman" w:hAnsi="Times New Roman" w:cs="Times New Roman"/>
          <w:kern w:val="0"/>
          <w:szCs w:val="21"/>
        </w:rPr>
        <w:fldChar w:fldCharType="begin" w:fldLock="1"/>
      </w:r>
      <w:r w:rsidR="00A3134A">
        <w:rPr>
          <w:rFonts w:ascii="Times New Roman" w:hAnsi="Times New Roman" w:cs="Times New Roman"/>
          <w:kern w:val="0"/>
          <w:szCs w:val="21"/>
        </w:rPr>
        <w:instrText>ADDIN CSL_CITATION {"citationItems":[{"id":"ITEM-1","itemData":{"DOI":"10.1074/jbc.272.48.29995","ISSN":"00219258","PMID":"9374472","abstract":"Cytochrome c is a mitochondrial protein that induces apoptosis when accumulated in the cytosol in response to diverse stress inducers. This protein has also been shown to cause apoptosis when added to cell free extracts. In this report, we studied the role of cytochrome c (cyto-c) in dexamethasone (Dex), anti-Fas monoclonal antibody (mAb), and ionizing radiation-induced apoptosis in multiple myeloma cells. The results demonstrate that ionizing radiation-induced apoptosis is associated with an increase in cytosolic cyto-c levels, whereas apoptosis induced by Dex or anti-Fas mAb has no detectable effect on cyto-c release. By contrast, caspase-3 was activated in response to all of these agents. Thus, our findings suggest that Dex or anti-Fas mAb-induced apoptosis is not accompanied by cyto-c release and that there are at least two different pathways leading to activation of caspases and induction of apoptosis in multiple myeloma cells that can be distinguished by accumulation of cytosolic cyto-c.","author":[{"dropping-particle":"","family":"Chauhan","given":"Dharminder","non-dropping-particle":"","parse-names":false,"suffix":""},{"dropping-particle":"","family":"Pandey","given":"Pramod","non-dropping-particle":"","parse-names":false,"suffix":""},{"dropping-particle":"","family":"Ogata","given":"Atshushi","non-dropping-particle":"","parse-names":false,"suffix":""},{"dropping-particle":"","family":"Teoh","given":"Gerrard","non-dropping-particle":"","parse-names":false,"suffix":""},{"dropping-particle":"","family":"Krett","given":"Nancy","non-dropping-particle":"","parse-names":false,"suffix":""},{"dropping-particle":"","family":"Halgren","given":"Robert","non-dropping-particle":"","parse-names":false,"suffix":""},{"dropping-particle":"","family":"Rosen","given":"Steven","non-dropping-particle":"","parse-names":false,"suffix":""},{"dropping-particle":"","family":"Kufe","given":"Donald","non-dropping-particle":"","parse-names":false,"suffix":""},{"dropping-particle":"","family":"Kharbanda","given":"Surender","non-dropping-particle":"","parse-names":false,"suffix":""},{"dropping-particle":"","family":"Anderson","given":"Kenneth","non-dropping-particle":"","parse-names":false,"suffix":""}],"container-title":"Journal of Biological Chemistry","id":"ITEM-1","issue":"48","issued":{"date-parts":[["1997"]]},"page":"29995-29997","publisher":"Â© 1997 ASBMB. Currently published by Elsevier Inc; originally published by American Society for Biochemistry and Molecular Biology.","title":"Cytochrome c-dependent and -independent induction of apoptosis in multiple myeloma cells","type":"article-journal","volume":"272"},"uris":["http://www.mendeley.com/documents/?uuid=76b052c1-3cfa-48ee-bbe3-79f4b88bee95"]},{"id":"ITEM-2","itemData":{"DOI":"10.1016/j.aquatox.2010.10.006","ISSN":"0166445X","PMID":"21074869","abstract":"Reactive oxygen species (ROS) are an unenviable part of aerobic life. Their steady-state concentration is a balance between production and elimination providing certain steady-state ROS level. The dynamic equilibrium can be disturbed leading to enhanced ROS level and damage to cellular constituents which is called \" oxidative stress\" This review describes the general processes responsible for ROS generation in aquatic animals and critically analyses used markers for identification of oxidative stress. Changes in temperature, oxygen levels and salinity can cause the stress in natural and artificial conditions via induction of disbalance between ROS production and elimination. Human borne pollutants can also enhance ROS level in hydrobionts. The role of transition metal ions, such as copper, chromium, mercury and arsenic, and pesticides, namely insecticides, herbicides, and fungicides along with oil products in induction of oxidative stress is highlighted. Last years the research in biology of free radicals was refocused from only descriptive works to molecular mechanisms with particular interest to ones enhancing tolerance. The function of some transcription regulators (Keap1-Nrf2 and HIF-1α) in coordination of organisms' response to oxidative stress is discussed. The future directions in the field are related with more accurate description of oxidative stress, the identification of its general characteristics and mechanisms responsible for adaptation to the stress have been also discussed. The last part marks some perspectives in the study of oxidative stress in hydrobionts, which, in addition to classic use, became more and more popular to address general biological questions such as development, aging and pathologies. © 2010 Elsevier B.V.","author":[{"dropping-particle":"","family":"Lushchak","given":"Volodymyr I.","non-dropping-particle":"","parse-names":false,"suffix":""}],"container-title":"Aquatic Toxicology","id":"ITEM-2","issue":"1","issued":{"date-parts":[["2011"]]},"page":"13-30","publisher":"Elsevier B.V.","title":"Environmentally induced oxidative stress in aquatic animals","type":"article-journal","volume":"101"},"uris":["http://www.mendeley.com/documents/?uuid=397b139f-0b1b-4abd-b31e-60d82cb71c39"]}],"mendeley":{"formattedCitation":"(Chauhan et al., 1997; Lushchak, 2011)","plainTextFormattedCitation":"(Chauhan et al., 1997; Lushchak, 2011)","previouslyFormattedCitation":"(Chauhan et al., 1997; Lushchak, 2011)"},"properties":{"noteIndex":0},"schema":"https://github.com/citation-style-language/schema/raw/master/csl-citation.json"}</w:instrText>
      </w:r>
      <w:r w:rsidR="00A3134A" w:rsidRPr="0083523B">
        <w:rPr>
          <w:rFonts w:ascii="Times New Roman" w:hAnsi="Times New Roman" w:cs="Times New Roman"/>
          <w:kern w:val="0"/>
          <w:szCs w:val="21"/>
        </w:rPr>
        <w:fldChar w:fldCharType="separate"/>
      </w:r>
      <w:r w:rsidR="00A3134A" w:rsidRPr="00A3134A">
        <w:rPr>
          <w:rFonts w:ascii="Times New Roman" w:hAnsi="Times New Roman" w:cs="Times New Roman"/>
          <w:kern w:val="0"/>
          <w:szCs w:val="21"/>
        </w:rPr>
        <w:t>(Chauhan et al., 1997; Lushchak, 2011)</w:t>
      </w:r>
      <w:r w:rsidR="00A3134A" w:rsidRPr="0083523B">
        <w:rPr>
          <w:rFonts w:ascii="Times New Roman" w:hAnsi="Times New Roman" w:cs="Times New Roman"/>
          <w:kern w:val="0"/>
          <w:szCs w:val="21"/>
        </w:rPr>
        <w:fldChar w:fldCharType="end"/>
      </w:r>
      <w:r>
        <w:rPr>
          <w:rFonts w:ascii="Times New Roman" w:hAnsi="Times New Roman" w:cs="Times New Roman" w:hint="eastAsia"/>
          <w:kern w:val="0"/>
          <w:szCs w:val="21"/>
        </w:rPr>
        <w:t>.</w:t>
      </w:r>
      <w:r w:rsidR="00223278">
        <w:rPr>
          <w:rFonts w:ascii="Times New Roman" w:hAnsi="Times New Roman" w:cs="Times New Roman"/>
          <w:kern w:val="0"/>
          <w:szCs w:val="21"/>
        </w:rPr>
        <w:t xml:space="preserve"> </w:t>
      </w:r>
      <w:r w:rsidR="00B34BEA">
        <w:rPr>
          <w:rFonts w:ascii="Times New Roman" w:hAnsi="Times New Roman" w:cs="Times New Roman"/>
          <w:kern w:val="0"/>
          <w:szCs w:val="21"/>
        </w:rPr>
        <w:t>T</w:t>
      </w:r>
      <w:r w:rsidR="00B34BEA">
        <w:rPr>
          <w:rFonts w:ascii="Times New Roman" w:hAnsi="Times New Roman" w:cs="Times New Roman" w:hint="eastAsia"/>
          <w:kern w:val="0"/>
          <w:szCs w:val="21"/>
        </w:rPr>
        <w:t>he ability of SOD and CAT to remove ROS is limited</w:t>
      </w:r>
      <w:r w:rsidR="00B34BEA">
        <w:rPr>
          <w:rFonts w:ascii="Times New Roman" w:hAnsi="Times New Roman" w:cs="Times New Roman"/>
          <w:kern w:val="0"/>
          <w:szCs w:val="21"/>
        </w:rPr>
        <w:t xml:space="preserve"> and</w:t>
      </w:r>
      <w:r w:rsidR="00B34BEA">
        <w:rPr>
          <w:rFonts w:ascii="Times New Roman" w:hAnsi="Times New Roman" w:cs="Times New Roman" w:hint="eastAsia"/>
          <w:kern w:val="0"/>
          <w:szCs w:val="21"/>
        </w:rPr>
        <w:t xml:space="preserve"> excess ROS inhibits the activity of these enzymes</w:t>
      </w:r>
      <w:r w:rsidR="00B34BEA">
        <w:rPr>
          <w:rFonts w:ascii="Times New Roman" w:hAnsi="Times New Roman" w:cs="Times New Roman"/>
          <w:kern w:val="0"/>
          <w:szCs w:val="21"/>
        </w:rPr>
        <w:t xml:space="preserve">. </w:t>
      </w:r>
      <w:r w:rsidR="00F32D3F">
        <w:rPr>
          <w:rFonts w:ascii="Times New Roman" w:hAnsi="Times New Roman" w:cs="Times New Roman"/>
          <w:kern w:val="0"/>
          <w:szCs w:val="21"/>
        </w:rPr>
        <w:t>T</w:t>
      </w:r>
      <w:r w:rsidR="00F32D3F">
        <w:rPr>
          <w:rFonts w:ascii="Times New Roman" w:hAnsi="Times New Roman" w:cs="Times New Roman" w:hint="eastAsia"/>
          <w:kern w:val="0"/>
          <w:szCs w:val="21"/>
        </w:rPr>
        <w:t>he</w:t>
      </w:r>
      <w:r w:rsidR="00F32D3F">
        <w:rPr>
          <w:rFonts w:ascii="Times New Roman" w:hAnsi="Times New Roman" w:cs="Times New Roman"/>
          <w:kern w:val="0"/>
          <w:szCs w:val="21"/>
        </w:rPr>
        <w:t xml:space="preserve"> </w:t>
      </w:r>
      <w:r w:rsidR="00F32D3F">
        <w:rPr>
          <w:rFonts w:ascii="Times New Roman" w:hAnsi="Times New Roman" w:cs="Times New Roman" w:hint="eastAsia"/>
          <w:kern w:val="0"/>
          <w:szCs w:val="21"/>
        </w:rPr>
        <w:t>enzyme</w:t>
      </w:r>
      <w:r w:rsidR="00F32D3F">
        <w:rPr>
          <w:rFonts w:ascii="Times New Roman" w:hAnsi="Times New Roman" w:cs="Times New Roman"/>
          <w:kern w:val="0"/>
          <w:szCs w:val="21"/>
        </w:rPr>
        <w:t xml:space="preserve"> levels </w:t>
      </w:r>
      <w:r w:rsidR="00F32D3F">
        <w:rPr>
          <w:rFonts w:ascii="Times New Roman" w:hAnsi="Times New Roman" w:cs="Times New Roman" w:hint="eastAsia"/>
          <w:kern w:val="0"/>
          <w:szCs w:val="21"/>
        </w:rPr>
        <w:t>in</w:t>
      </w:r>
      <w:r w:rsidR="00F32D3F">
        <w:rPr>
          <w:rFonts w:ascii="Times New Roman" w:hAnsi="Times New Roman" w:cs="Times New Roman"/>
          <w:kern w:val="0"/>
          <w:szCs w:val="21"/>
        </w:rPr>
        <w:t xml:space="preserve"> vivo, such as </w:t>
      </w:r>
      <w:r w:rsidR="00F32D3F">
        <w:rPr>
          <w:rFonts w:ascii="Times New Roman" w:hAnsi="Times New Roman" w:cs="Times New Roman" w:hint="eastAsia"/>
          <w:kern w:val="0"/>
          <w:szCs w:val="21"/>
        </w:rPr>
        <w:t>SOD and CAT</w:t>
      </w:r>
      <w:r w:rsidR="00F32D3F">
        <w:rPr>
          <w:rFonts w:ascii="Times New Roman" w:hAnsi="Times New Roman" w:cs="Times New Roman"/>
          <w:kern w:val="0"/>
          <w:szCs w:val="21"/>
        </w:rPr>
        <w:t xml:space="preserve">, </w:t>
      </w:r>
      <w:r w:rsidR="00F32D3F">
        <w:rPr>
          <w:rFonts w:ascii="Times New Roman" w:hAnsi="Times New Roman" w:cs="Times New Roman" w:hint="eastAsia"/>
          <w:kern w:val="0"/>
          <w:szCs w:val="21"/>
        </w:rPr>
        <w:t xml:space="preserve">are </w:t>
      </w:r>
      <w:r w:rsidR="00F32D3F">
        <w:rPr>
          <w:rFonts w:ascii="Times New Roman" w:hAnsi="Times New Roman" w:cs="Times New Roman"/>
          <w:kern w:val="0"/>
          <w:szCs w:val="21"/>
        </w:rPr>
        <w:t>typically</w:t>
      </w:r>
      <w:r w:rsidR="00F32D3F">
        <w:rPr>
          <w:rFonts w:ascii="Times New Roman" w:hAnsi="Times New Roman" w:cs="Times New Roman" w:hint="eastAsia"/>
          <w:kern w:val="0"/>
          <w:szCs w:val="21"/>
        </w:rPr>
        <w:t xml:space="preserve"> used to evaluate oxidative stress</w:t>
      </w:r>
      <w:r w:rsidR="00F32D3F" w:rsidRPr="001F6751">
        <w:rPr>
          <w:rFonts w:ascii="Times New Roman" w:hAnsi="Times New Roman" w:cs="Times New Roman" w:hint="eastAsia"/>
          <w:kern w:val="0"/>
          <w:szCs w:val="21"/>
        </w:rPr>
        <w:t xml:space="preserve"> </w:t>
      </w:r>
      <w:r w:rsidR="00A3134A" w:rsidRPr="0083523B">
        <w:rPr>
          <w:rFonts w:ascii="Times New Roman" w:hAnsi="Times New Roman" w:cs="Times New Roman"/>
          <w:kern w:val="0"/>
          <w:szCs w:val="21"/>
        </w:rPr>
        <w:fldChar w:fldCharType="begin" w:fldLock="1"/>
      </w:r>
      <w:r w:rsidR="00C127F4" w:rsidRPr="0083523B">
        <w:rPr>
          <w:rFonts w:ascii="Times New Roman" w:hAnsi="Times New Roman" w:cs="Times New Roman"/>
          <w:kern w:val="0"/>
          <w:szCs w:val="21"/>
        </w:rPr>
        <w:instrText>ADDIN CSL_CITATION {"citationItems":[{"id":"ITEM-1","itemData":{"DOI":"10.1016/j.aquatox.2006.11.013","ISSN":"0166445X","PMID":"17194491","abstract":"Goldfish (Carassius auratus) were exposed to a mixture of herbicides, namely atrazine, simazine, diuron, and isoproturon (ASDI) at a cumulative concentration of 50 μg/l for 12 weeks. Control fish and exposed fish were sampled at 4, 8 and 12 weeks of exposure to observe the combined impact of herbicides on non-specific and specific mechanisms of immunity and antioxidant defenses. The antioxidant defenses were evaluated in haemopoietic organs and liver. ASDI-induced stress was reflected as a significant induction of superoxide (O2{radical dot}-) production in phagocytic cells of head kidney and spleen. In addition, plasma lysozyme activity was consistently high in the treatment group. Specific immunity was assessed by antibody titre responses following immunization of the fish with sheep red blood cells (SRBCs). Antibody titre was reduced throughout the period of observation in ASDI-treated fish. This reduction was found to be significant at week 4 (p &lt; 0.05). Herbicide-exposed fish showed reduced resistance against pathogen invasion but remarkable enhancement in lysozyme activity. The ASDI-induced oxidative stress in spleen, kidney and liver was reflected as a change in the antioxidant enzyme activities in these vital organs of fish. Our data indicate that herbicides at concentrations present in water bodies in Europe cause immune suppression in goldfish. © 2007 Elsevier B.V. All rights reserved.","author":[{"dropping-particle":"","family":"Fatima","given":"M.","non-dropping-particle":"","parse-names":false,"suffix":""},{"dropping-particle":"","family":"Mandiki","given":"S. N.M.","non-dropping-particle":"","parse-names":false,"suffix":""},{"dropping-particle":"","family":"Douxfils","given":"J.","non-dropping-particle":"","parse-names":false,"suffix":""},{"dropping-particle":"","family":"Silvestre","given":"F.","non-dropping-particle":"","parse-names":false,"suffix":""},{"dropping-particle":"","family":"Coppe","given":"P.","non-dropping-particle":"","parse-names":false,"suffix":""},{"dropping-particle":"","family":"Kestemont","given":"P.","non-dropping-particle":"","parse-names":false,"suffix":""}],"container-title":"Aquatic Toxicology","id":"ITEM-1","issue":"2","issued":{"date-parts":[["2007"]]},"page":"159-167","title":"Combined effects of herbicides on biomarkers reflecting immune-endocrine interactions in goldfish. Immune and antioxidant effects","type":"article-journal","volume":"81"},"uris":["http://www.mendeley.com/documents/?uuid=e76a2850-c15e-422d-83c7-3caf4d59be96"]},{"id":"ITEM-2","itemData":{"DOI":"10.1016/j.scitotenv.2021.149047","ISSN":"18791026","PMID":"34280629","abstract":"4-Epianhydrotetracycline (4-EATC) is a major intermediate product of tetracycline during its degradation progress in the natural environment, which is frequently detected in aquatic environments and poses a potential threat to aquatic organisms. In the present study, the ecotoxicity of 4-EATC have been studied from the perspective of oxidative stress by using zebrafish embryos. After 96 h exposure, the reactive oxygen species (ROS) levels, malondialdehyde (MDA) concentrations and protein carbonyl (PC) contents in zebrafish embryos in the lower-concentration 4-EATC treatment groups (1.25 mg/L and 2.50 mg/L) showed no significant differences compared with the negative control group. However, the total superoxide dismutase (SOD) activity was increased significantly. After exposed to the higher-concentration of 4-EATC (5.00, 10.0 and 20.0 mg/L) resulted in a significant increase in ROS levels, MDA concentrations and PC contents, in contrast, a significant decrease in SOD activities. The results indicate that exposure to high concentrations of 4-EATC (5.00, 10.0 and 20.0 mg/L) could disrupt the redox equilibrium in zebrafish embryos, leading to the occurrence of oxidative damage. Apoptosis of the embryonic cells could be induced by 4-EATC exposure at different concentration and the rate of apoptosis enhanced with the increase of 4-EATC concentration. The pericardium was the most frequent site of apoptosis. The present study points out that more attention should be paid to the potential ecological risks of antibiotic degradation products.","author":[{"dropping-particle":"","family":"Wang","given":"Meng","non-dropping-particle":"","parse-names":false,"suffix":""},{"dropping-particle":"","family":"Zhao","given":"Jianfu","non-dropping-particle":"","parse-names":false,"suffix":""},{"dropping-particle":"","family":"Wu","given":"Lingling","non-dropping-particle":"","parse-names":false,"suffix":""},{"dropping-particle":"","family":"Ma","given":"Taowu","non-dropping-particle":"","parse-names":false,"suffix":""}],"container-title":"Science of the Total Environment","id":"ITEM-2","issued":{"date-parts":[["2021"]]},"page":"149047","publisher":"Elsevier B.V.","title":"Effects of 4-epianhydrotetracycline on oxidative stress in zebrafish (Danio rerio) embryos","type":"article-journal","volume":"796"},"uris":["http://www.mendeley.com/documents/?uuid=ab94aa20-f540-4d2c-8aa8-2c67aad34276"]}],"mendeley":{"formattedCitation":"(Fatima et al., 2007; Wang et al., 2021)","plainTextFormattedCitation":"(Fatima et al., 2007; Wang et al., 2021)","previouslyFormattedCitation":"(Fatima et al., 2007; Wang et al., 2021)"},"properties":{"noteIndex":0},"schema":"https://github.com/citation-style-language/schema/raw/master/csl-citation.json"}</w:instrText>
      </w:r>
      <w:r w:rsidR="00A3134A" w:rsidRPr="0083523B">
        <w:rPr>
          <w:rFonts w:ascii="Times New Roman" w:hAnsi="Times New Roman" w:cs="Times New Roman"/>
          <w:kern w:val="0"/>
          <w:szCs w:val="21"/>
        </w:rPr>
        <w:fldChar w:fldCharType="separate"/>
      </w:r>
      <w:r w:rsidR="00A3134A" w:rsidRPr="00A3134A">
        <w:rPr>
          <w:rFonts w:ascii="Times New Roman" w:hAnsi="Times New Roman" w:cs="Times New Roman"/>
          <w:kern w:val="0"/>
          <w:szCs w:val="21"/>
        </w:rPr>
        <w:t>(Fatima et al., 2007; Wang et al., 2021)</w:t>
      </w:r>
      <w:r w:rsidR="00A3134A" w:rsidRPr="0083523B">
        <w:rPr>
          <w:rFonts w:ascii="Times New Roman" w:hAnsi="Times New Roman" w:cs="Times New Roman"/>
          <w:kern w:val="0"/>
          <w:szCs w:val="21"/>
        </w:rPr>
        <w:fldChar w:fldCharType="end"/>
      </w:r>
      <w:r w:rsidR="00F32D3F">
        <w:rPr>
          <w:rFonts w:ascii="Times New Roman" w:hAnsi="Times New Roman" w:cs="Times New Roman" w:hint="eastAsia"/>
          <w:kern w:val="0"/>
          <w:szCs w:val="21"/>
        </w:rPr>
        <w:t xml:space="preserve">. </w:t>
      </w:r>
      <w:r>
        <w:rPr>
          <w:rFonts w:ascii="Times New Roman" w:hAnsi="Times New Roman" w:cs="Times New Roman" w:hint="eastAsia"/>
          <w:kern w:val="0"/>
          <w:szCs w:val="21"/>
        </w:rPr>
        <w:t xml:space="preserve">In </w:t>
      </w:r>
      <w:r>
        <w:rPr>
          <w:rFonts w:ascii="Times New Roman" w:hAnsi="Times New Roman" w:cs="Times New Roman"/>
          <w:kern w:val="0"/>
          <w:szCs w:val="21"/>
        </w:rPr>
        <w:t>present</w:t>
      </w:r>
      <w:r>
        <w:rPr>
          <w:rFonts w:ascii="Times New Roman" w:hAnsi="Times New Roman" w:cs="Times New Roman" w:hint="eastAsia"/>
          <w:kern w:val="0"/>
          <w:szCs w:val="21"/>
        </w:rPr>
        <w:t xml:space="preserve"> study, ROS levels in </w:t>
      </w:r>
      <w:r w:rsidRPr="0083523B">
        <w:rPr>
          <w:rFonts w:ascii="Times New Roman" w:hAnsi="Times New Roman" w:cs="Times New Roman"/>
          <w:kern w:val="0"/>
          <w:szCs w:val="21"/>
        </w:rPr>
        <w:t xml:space="preserve">the brain, liver, and kidney of </w:t>
      </w:r>
      <w:r w:rsidR="000C315A" w:rsidRPr="0083523B">
        <w:rPr>
          <w:rFonts w:ascii="Times New Roman" w:hAnsi="Times New Roman" w:cs="Times New Roman"/>
          <w:kern w:val="0"/>
          <w:szCs w:val="21"/>
        </w:rPr>
        <w:t xml:space="preserve">larvae </w:t>
      </w:r>
      <w:r w:rsidRPr="0083523B">
        <w:rPr>
          <w:rFonts w:ascii="Times New Roman" w:hAnsi="Times New Roman" w:cs="Times New Roman"/>
          <w:kern w:val="0"/>
          <w:szCs w:val="21"/>
        </w:rPr>
        <w:t xml:space="preserve">CGS </w:t>
      </w:r>
      <w:r>
        <w:rPr>
          <w:rFonts w:ascii="Times New Roman" w:hAnsi="Times New Roman" w:cs="Times New Roman" w:hint="eastAsia"/>
          <w:kern w:val="0"/>
          <w:szCs w:val="21"/>
        </w:rPr>
        <w:t xml:space="preserve">significantly increased </w:t>
      </w:r>
      <w:r w:rsidR="007D33EC" w:rsidRPr="0083523B">
        <w:rPr>
          <w:rFonts w:ascii="Times New Roman" w:hAnsi="Times New Roman" w:cs="Times New Roman"/>
          <w:kern w:val="0"/>
          <w:szCs w:val="21"/>
        </w:rPr>
        <w:t>with</w:t>
      </w:r>
      <w:r w:rsidRPr="0083523B">
        <w:rPr>
          <w:rFonts w:ascii="Times New Roman" w:hAnsi="Times New Roman" w:cs="Times New Roman"/>
          <w:kern w:val="0"/>
          <w:szCs w:val="21"/>
        </w:rPr>
        <w:t xml:space="preserve"> </w:t>
      </w:r>
      <w:r>
        <w:rPr>
          <w:rFonts w:ascii="Times New Roman" w:hAnsi="Times New Roman" w:cs="Times New Roman"/>
          <w:kern w:val="0"/>
          <w:szCs w:val="21"/>
        </w:rPr>
        <w:t xml:space="preserve">BF </w:t>
      </w:r>
      <w:r w:rsidR="007D33EC">
        <w:rPr>
          <w:rFonts w:ascii="Times New Roman" w:hAnsi="Times New Roman" w:cs="Times New Roman"/>
          <w:kern w:val="0"/>
          <w:szCs w:val="21"/>
        </w:rPr>
        <w:t>increasing</w:t>
      </w:r>
      <w:r>
        <w:rPr>
          <w:rFonts w:ascii="Times New Roman" w:hAnsi="Times New Roman" w:cs="Times New Roman" w:hint="eastAsia"/>
          <w:kern w:val="0"/>
          <w:szCs w:val="21"/>
        </w:rPr>
        <w:t xml:space="preserve">, </w:t>
      </w:r>
      <w:r>
        <w:rPr>
          <w:rFonts w:ascii="Times New Roman" w:hAnsi="Times New Roman" w:cs="Times New Roman"/>
          <w:kern w:val="0"/>
          <w:szCs w:val="21"/>
        </w:rPr>
        <w:t>while</w:t>
      </w:r>
      <w:r>
        <w:rPr>
          <w:rFonts w:ascii="Times New Roman" w:hAnsi="Times New Roman" w:cs="Times New Roman" w:hint="eastAsia"/>
          <w:kern w:val="0"/>
          <w:szCs w:val="21"/>
        </w:rPr>
        <w:t xml:space="preserve"> the SOD and CAT levels significantly decreased</w:t>
      </w:r>
      <w:r>
        <w:rPr>
          <w:rFonts w:ascii="Times New Roman" w:hAnsi="Times New Roman" w:cs="Times New Roman"/>
          <w:kern w:val="0"/>
          <w:szCs w:val="21"/>
        </w:rPr>
        <w:t>.</w:t>
      </w:r>
      <w:r>
        <w:rPr>
          <w:rFonts w:ascii="Times New Roman" w:hAnsi="Times New Roman" w:cs="Times New Roman" w:hint="eastAsia"/>
          <w:kern w:val="0"/>
          <w:szCs w:val="21"/>
        </w:rPr>
        <w:t xml:space="preserve"> </w:t>
      </w:r>
      <w:r w:rsidR="00F32D3F">
        <w:rPr>
          <w:rFonts w:ascii="Times New Roman" w:hAnsi="Times New Roman" w:cs="Times New Roman"/>
          <w:kern w:val="0"/>
          <w:szCs w:val="21"/>
        </w:rPr>
        <w:t xml:space="preserve">This may be </w:t>
      </w:r>
      <w:r w:rsidR="00F32D3F">
        <w:rPr>
          <w:rFonts w:ascii="Times New Roman" w:hAnsi="Times New Roman" w:cs="Times New Roman" w:hint="eastAsia"/>
          <w:kern w:val="0"/>
          <w:szCs w:val="21"/>
        </w:rPr>
        <w:t xml:space="preserve">due to </w:t>
      </w:r>
      <w:r w:rsidR="00F32D3F">
        <w:rPr>
          <w:rFonts w:ascii="Times New Roman" w:hAnsi="Times New Roman" w:cs="Times New Roman"/>
          <w:kern w:val="0"/>
          <w:szCs w:val="21"/>
        </w:rPr>
        <w:t>the</w:t>
      </w:r>
      <w:r w:rsidR="00F32D3F">
        <w:rPr>
          <w:rFonts w:ascii="Times New Roman" w:hAnsi="Times New Roman" w:cs="Times New Roman" w:hint="eastAsia"/>
          <w:kern w:val="0"/>
          <w:szCs w:val="21"/>
        </w:rPr>
        <w:t xml:space="preserve"> </w:t>
      </w:r>
      <w:r w:rsidR="00F32D3F">
        <w:rPr>
          <w:rFonts w:ascii="Times New Roman" w:hAnsi="Times New Roman" w:cs="Times New Roman"/>
          <w:kern w:val="0"/>
          <w:szCs w:val="21"/>
        </w:rPr>
        <w:t>disorder</w:t>
      </w:r>
      <w:r w:rsidR="00F32D3F">
        <w:rPr>
          <w:rFonts w:ascii="Times New Roman" w:hAnsi="Times New Roman" w:cs="Times New Roman" w:hint="eastAsia"/>
          <w:kern w:val="0"/>
          <w:szCs w:val="21"/>
        </w:rPr>
        <w:t xml:space="preserve"> </w:t>
      </w:r>
      <w:r w:rsidR="00F32D3F" w:rsidRPr="0083523B">
        <w:rPr>
          <w:rFonts w:ascii="Times New Roman" w:hAnsi="Times New Roman" w:cs="Times New Roman"/>
          <w:kern w:val="0"/>
          <w:szCs w:val="21"/>
        </w:rPr>
        <w:t>dynamic balance between the production and elimination of free radicals induced by BF</w:t>
      </w:r>
      <w:r w:rsidR="00F32D3F">
        <w:rPr>
          <w:rFonts w:ascii="Times New Roman" w:hAnsi="Times New Roman" w:cs="Times New Roman"/>
          <w:kern w:val="0"/>
          <w:szCs w:val="21"/>
        </w:rPr>
        <w:t xml:space="preserve"> exposure</w:t>
      </w:r>
      <w:r w:rsidR="00F32D3F">
        <w:rPr>
          <w:rFonts w:ascii="Times New Roman" w:hAnsi="Times New Roman" w:cs="Times New Roman" w:hint="eastAsia"/>
          <w:kern w:val="0"/>
          <w:szCs w:val="21"/>
        </w:rPr>
        <w:t xml:space="preserve">. </w:t>
      </w:r>
      <w:r>
        <w:rPr>
          <w:rFonts w:ascii="Times New Roman" w:hAnsi="Times New Roman" w:cs="Times New Roman" w:hint="eastAsia"/>
          <w:kern w:val="0"/>
          <w:szCs w:val="21"/>
        </w:rPr>
        <w:t xml:space="preserve">Similar phenomena were observed in </w:t>
      </w:r>
      <w:r w:rsidR="005D194F">
        <w:rPr>
          <w:rFonts w:ascii="Times New Roman" w:hAnsi="Times New Roman" w:cs="Times New Roman"/>
          <w:kern w:val="0"/>
          <w:szCs w:val="21"/>
        </w:rPr>
        <w:t>fish against to</w:t>
      </w:r>
      <w:r w:rsidR="005D194F" w:rsidRPr="0083523B">
        <w:rPr>
          <w:rFonts w:ascii="Times New Roman" w:hAnsi="Times New Roman" w:cs="Times New Roman"/>
          <w:kern w:val="0"/>
          <w:szCs w:val="21"/>
        </w:rPr>
        <w:t xml:space="preserve"> pesticides</w:t>
      </w:r>
      <w:r>
        <w:rPr>
          <w:rFonts w:ascii="Times New Roman" w:hAnsi="Times New Roman" w:cs="Times New Roman" w:hint="eastAsia"/>
          <w:kern w:val="0"/>
          <w:szCs w:val="21"/>
        </w:rPr>
        <w:t xml:space="preserve"> </w:t>
      </w:r>
      <w:r w:rsidR="005D194F">
        <w:rPr>
          <w:rFonts w:ascii="Times New Roman" w:hAnsi="Times New Roman" w:cs="Times New Roman"/>
          <w:kern w:val="0"/>
          <w:szCs w:val="21"/>
        </w:rPr>
        <w:t>induced</w:t>
      </w:r>
      <w:r>
        <w:rPr>
          <w:rFonts w:ascii="Times New Roman" w:hAnsi="Times New Roman" w:cs="Times New Roman" w:hint="eastAsia"/>
          <w:kern w:val="0"/>
          <w:szCs w:val="21"/>
        </w:rPr>
        <w:t xml:space="preserve"> oxidative stress, </w:t>
      </w:r>
      <w:r w:rsidR="0084417C">
        <w:rPr>
          <w:rFonts w:ascii="Times New Roman" w:hAnsi="Times New Roman" w:cs="Times New Roman"/>
          <w:kern w:val="0"/>
          <w:szCs w:val="21"/>
        </w:rPr>
        <w:t>speculat</w:t>
      </w:r>
      <w:r w:rsidR="00A632B7">
        <w:rPr>
          <w:rFonts w:ascii="Times New Roman" w:hAnsi="Times New Roman" w:cs="Times New Roman"/>
          <w:kern w:val="0"/>
          <w:szCs w:val="21"/>
        </w:rPr>
        <w:t>ing</w:t>
      </w:r>
      <w:r>
        <w:rPr>
          <w:rFonts w:ascii="Times New Roman" w:hAnsi="Times New Roman" w:cs="Times New Roman" w:hint="eastAsia"/>
          <w:kern w:val="0"/>
          <w:szCs w:val="21"/>
        </w:rPr>
        <w:t xml:space="preserve"> that pesticides</w:t>
      </w:r>
      <w:r w:rsidR="00824D70">
        <w:rPr>
          <w:rFonts w:ascii="Times New Roman" w:hAnsi="Times New Roman" w:cs="Times New Roman"/>
          <w:kern w:val="0"/>
          <w:szCs w:val="21"/>
        </w:rPr>
        <w:t xml:space="preserve"> accumulation promote</w:t>
      </w:r>
      <w:r>
        <w:rPr>
          <w:rFonts w:ascii="Times New Roman" w:hAnsi="Times New Roman" w:cs="Times New Roman" w:hint="eastAsia"/>
          <w:kern w:val="0"/>
          <w:szCs w:val="21"/>
        </w:rPr>
        <w:t xml:space="preserve"> </w:t>
      </w:r>
      <w:r w:rsidR="00824D70">
        <w:rPr>
          <w:rFonts w:ascii="Times New Roman" w:hAnsi="Times New Roman" w:cs="Times New Roman"/>
          <w:kern w:val="0"/>
          <w:szCs w:val="21"/>
        </w:rPr>
        <w:t xml:space="preserve">ROS production and </w:t>
      </w:r>
      <w:r w:rsidR="00CE16F2">
        <w:rPr>
          <w:rFonts w:ascii="Times New Roman" w:hAnsi="Times New Roman" w:cs="Times New Roman"/>
          <w:kern w:val="0"/>
          <w:szCs w:val="21"/>
        </w:rPr>
        <w:t>impair</w:t>
      </w:r>
      <w:r>
        <w:rPr>
          <w:rFonts w:ascii="Times New Roman" w:hAnsi="Times New Roman" w:cs="Times New Roman" w:hint="eastAsia"/>
          <w:kern w:val="0"/>
          <w:szCs w:val="21"/>
        </w:rPr>
        <w:t xml:space="preserve"> the catalytic effect of antioxidant enzymes</w:t>
      </w:r>
      <w:r w:rsidR="00824D70">
        <w:rPr>
          <w:rFonts w:ascii="Times New Roman" w:hAnsi="Times New Roman" w:cs="Times New Roman"/>
          <w:kern w:val="0"/>
          <w:szCs w:val="21"/>
        </w:rPr>
        <w:t xml:space="preserve"> </w:t>
      </w:r>
      <w:r w:rsidR="00C127F4" w:rsidRPr="0083523B">
        <w:rPr>
          <w:rFonts w:ascii="Times New Roman" w:hAnsi="Times New Roman" w:cs="Times New Roman"/>
          <w:kern w:val="0"/>
          <w:szCs w:val="21"/>
        </w:rPr>
        <w:fldChar w:fldCharType="begin" w:fldLock="1"/>
      </w:r>
      <w:r w:rsidR="001F73E6" w:rsidRPr="0083523B">
        <w:rPr>
          <w:rFonts w:ascii="Times New Roman" w:hAnsi="Times New Roman" w:cs="Times New Roman"/>
          <w:kern w:val="0"/>
          <w:szCs w:val="21"/>
        </w:rPr>
        <w:instrText>ADDIN CSL_CITATION {"citationItems":[{"id":"ITEM-1","itemData":{"DOI":"10.1002/tox","ISBN":"2011370211000","abstract":"Targeted qPCR and non-targeted amplicon sequencing of 16S rRNA genes within sediment layers identified the anaerobic ammonium oxidation (anammox) niche and characterized microbial community changes attributable to freshwater mussels. Anammox bacteria were normally distributed (Shapiro-Wilk normality test, W -statistic =0.954, p = 0.773) between 1 and 15 cm depth and were increased by a factor of 2.2 ( p &lt; 0.001) at 3 cm below the water-sediment interface when mussels were present. Amplicon sequencing of sediment at depths relevant to mussel burrowing (3 and 5 cm) showed that mussel presence reduced observed species richness ( p = 0.005), Chao1 diversity ( p = 0.005), and Shannon diversity ( p &lt; 0.001), with more pronounced decreases at 5 cm depth. A non-metric, multidimensional scaling model showed that intersample microbial species diversity varied as a function of mussel presence, indicating that sediment below mussels harbored distinct microbial communities. Mussel presence corresponded with a 4-fold decrease in a majority of operational taxonomic units (OTUs) classified in the phyla Gemmatimonadetes, Actinobacteria, Acidobacteria, Plantomycetes, Chloroflexi, Firmicutes, Crenarcheota, and Verrucomicrobia. 38 OTUs in the phylum Nitrospirae were differentially abundant ( p &lt; 0.001) with mussels, resulting in an overall increase from 25% to 35%. Nitrogen (N)-cycle OTUs significantly impacted by mussels belonged to anammmox genus Candidatus Brocadia, ammonium oxidizing bacteria family Nitrosomonadaceae, ammonium oxidizing archaea genus Candidatus Nitrososphaera, nitrite oxidizing bacteria in genus Nitrospira , and nitrate- and nitrite-dependent anaerobic methane oxidizing organisms in the archaeal family “ANME-2d” and bacterial phylum “NC10”, respectively. Nitrosomonadaceae (0.9-fold ( p &lt; 0.001)) increased with mussels, while NC10 (2.1-fold ( p &lt; 0.001)), ANME-2d (1.8-fold ( p &lt; 0.001)), and Candidatus Nitrososphaera (1.5-fold ( p &lt; 0.001)) decreased with mussels. Co-occurrence of 2-fold increases in Candidatus Brocadia and Nitrospira in shallow sediments suggests that mussels may enhance microbial niches at the interface of oxic–anoxic conditions, presumably through biodeposition and burrowing. Furthermore, it is likely that the niches of Candidatus Nitrososphaera and nitrite- and nitrate-dependent anaerobic methane oxidizers were suppressed by mussel biodeposition and sediment aeration, as these phylotypes require low ammonium concentrations and anoxi…","author":[{"dropping-particle":"","family":"Yan","given":"Sai H.","non-dropping-particle":"","parse-names":false,"suffix":""},{"dropping-particle":"","family":"Wang","given":"Jin H.","non-dropping-particle":"","parse-names":false,"suffix":""},{"dropping-particle":"","family":"Zhu","given":"Lu S.","non-dropping-particle":"","parse-names":false,"suffix":""},{"dropping-particle":"","family":"Chen","given":"Ai M.","non-dropping-particle":"","parse-names":false,"suffix":""},{"dropping-particle":"","family":"Wang","given":"Jun","non-dropping-particle":"","parse-names":false,"suffix":""}],"container-title":"Far Eastern Entomologist","id":"ITEM-1","issue":"April","issued":{"date-parts":[["2015"]]},"page":"16","title":"First record of the ground beetle Trechoblemus postilenatus (Coleoptera, Carabidae) in Primorskii krai","type":"article-journal","volume":"165"},"uris":["http://www.mendeley.com/documents/?uuid=44c4af6a-96fd-4b5f-9e3a-ea234b46e079"]},{"id":"ITEM-2","itemData":{"DOI":"10.1016/j.fsi.2012.11.046","ISSN":"10959947","PMID":"23261506","abstract":"Cis-bifenthrin (cis-BF) is used widely for agricultural and non-agricultural purpose. Thus, cis-BF is one of the most frequently detected insecticides in the aquatic ecosystem. As a chiral pesticide, the commercial cis-BF contained two enantiomers including 1R-. cis-BF and 1S-. cis-BF. However, the difference in inducing oxidative stress, apoptosis and immunotoxicity by the two enantiomers in zebrafish still remains unclear. In the present study, the zebrafish were exposed to environmental concentrations of cis-BF, 1R-. cis-BF and 1S-. cis-BF during the embryos developmental stage. We observed that the mRNA levels of the most genes related to oxidative stress, apoptosis and immunotoxicity including Cu/Zn-superoxide dismutase (Cu/Zn-Sod), catalase (Cat), P53, murine double minute 2 (Mdm2), B-cell lymphoma/leukaemia-2 gene (Bcl2), Bcl2 associated X protein (Bax), apoptotic protease activating factor-1 (Apaf1), Caspase 9 (Cas9), Caspase 3 (Cas3), interleukin-1 beta (IL-1β) and interleukin-8(Il-8) were much higher in 1S-. cis-BF treated group than those in cis-BF or 1R-. cis-BF treated ones, suggesting that 1S-. cis-BF has higher risk to induced oxidative stress, apoptosis and immunotoxicity than 1R-. cis-BF in zebrafish. The information presented in this study will help with elucidating the differences and environmental risk of the two enantiomers of cis-BF-induced toxicity in aquatic organisms. © 2012 Elsevier Ltd.","author":[{"dropping-particle":"","family":"Jin","given":"Yuanxiang","non-dropping-particle":"","parse-names":false,"suffix":""},{"dropping-particle":"","family":"Pan","given":"Xiuhong","non-dropping-particle":"","parse-names":false,"suffix":""},{"dropping-particle":"","family":"Cao","given":"Limin","non-dropping-particle":"","parse-names":false,"suffix":""},{"dropping-particle":"","family":"Ma","given":"Bufang","non-dropping-particle":"","parse-names":false,"suffix":""},{"dropping-particle":"","family":"Fu","given":"Zhengwei","non-dropping-particle":"","parse-names":false,"suffix":""}],"container-title":"Fish and Shellfish Immunology","id":"ITEM-2","issue":"2","issued":{"date-parts":[["2013"]]},"page":"717-723","publisher":"Elsevier Ltd","title":"Embryonic exposure to cis-bifenthrin enantioselectively induces the transcription of genes related to oxidative stress, apoptosis and immunotoxicity in zebrafish (Danio rerio)","type":"article-journal","volume":"34"},"uris":["http://www.mendeley.com/documents/?uuid=0a25f2e8-dbd6-4a8f-ad54-a941272af20f"]},{"id":"ITEM-3","itemData":{"DOI":"10.1016/j.aquatox.2014.01.025","ISSN":"1879-1514","PMID":"24576492","abstract":"Phthalic acid esters (PAEs) are a class of synthetic industrial chemicals commonly found in the aquatic environment worldwide. PAEs have been recognised as anti-androgens in male mammals but little is known about their endocrine disrupting effects in fish. This study investigated the effects of 7-day exposures to nominal (measured) concentrations of 125 (62), 250 (140), 500 (230) and 1,000 (383) μg/L of di-n-butyl phthalate (DnBP) on the biomarkers of reproduction in adult male Murray River rainbowfish (Melanotaenia fluviatilis) using molecular, biochemical and histological endpoints. None of the tested concentrations of DnBP had any effect on survival or the vital body indices of the fish. The sizes of spermatogonia, Type A and B spermatocytes and spermatids were significantly smaller relative to the controls after treatment with DnBP. This was accompanied by a significant increase in the proportion of spermatogonia in fish treated with 250-1,000 μg/L of DnBP in comparison to the unexposed fish. At the end of the exposure period, the expressions of the transcripts for the androgen receptors α and β were significantly elevated in the livers of the fish treated with 500 and 1,000 μg/L of DnBP. In addition, there was also an increase in the circulating concentrations of vitellogenin in the plasma in the higher treatment groups. An induction in the activity of aromatase was noted in the brains of 1,000 μg/L DnBP-treated fish. This was accompanied by an increase in the hepatic expression of the genes (here and later, whenever the phrase gene expression is used as a synonym for gene transcription although it is acknowledged that it is also regulated, e.g., by translation, mRNA stability and protein stability) encoding for the oestrogen receptors α and β and choriogenin L. Collectively, an increase in the proportion of spermatogonia in the testes, the upregulation of the genes for the oestrogen receptors and choriogenin in the liver, an induction in the brain aromatase activity and the increase in the circulating levels of plasma vitellogenin suggest that continuous exposures for 7 days to sub-acute concentrations of DnBP can adversely affect the reproductive health of the male Murray rainbowfish by an estrogenic mode of action.","author":[{"dropping-particle":"","family":"Bhatia","given":"Harpreet","non-dropping-particle":"","parse-names":false,"suffix":""},{"dropping-particle":"","family":"Kumar","given":"Anupama","non-dropping-particle":"","parse-names":false,"suffix":""},{"dropping-particle":"","family":"Ogino","given":"Yukiko","non-dropping-particle":"","parse-names":false,"suffix":""},{"dropping-particle":"","family":"Gregg","given":"Adrienne","non-dropping-particle":"","parse-names":false,"suffix":""},{"dropping-particle":"","family":"Chapman","given":"John","non-dropping-particle":"","parse-names":false,"suffix":""},{"dropping-particle":"","family":"McLaughlin","given":"Mike J","non-dropping-particle":"","parse-names":false,"suffix":""},{"dropping-particle":"","family":"Iguchi","given":"Taisen","non-dropping-particle":"","parse-names":false,"suffix":""}],"container-title":"Aquatic toxicology (Amsterdam, Netherlands)","id":"ITEM-3","issued":{"date-parts":[["2014","4"]]},"page":"103-15","title":"Dinbutyl phthalate causes estrogenic effects in adult male Murray rainbowfish (Melanotaenia fluviatilis).","type":"article-journal","volume":"149"},"uris":["http://www.mendeley.com/documents/?uuid=51cf6ebc-64a0-4118-bf7a-9d29599c2302"]}],"mendeley":{"formattedCitation":"(Bhatia et al., 2014; Jin et al., 2013; Yan et al., 2015)","plainTextFormattedCitation":"(Bhatia et al., 2014; Jin et al., 2013; Yan et al., 2015)","previouslyFormattedCitation":"(Bhatia et al., 2014; Jin et al., 2013; Yan et al., 2015)"},"properties":{"noteIndex":0},"schema":"https://github.com/citation-style-language/schema/raw/master/csl-citation.json"}</w:instrText>
      </w:r>
      <w:r w:rsidR="00C127F4" w:rsidRPr="0083523B">
        <w:rPr>
          <w:rFonts w:ascii="Times New Roman" w:hAnsi="Times New Roman" w:cs="Times New Roman"/>
          <w:kern w:val="0"/>
          <w:szCs w:val="21"/>
        </w:rPr>
        <w:fldChar w:fldCharType="separate"/>
      </w:r>
      <w:r w:rsidR="00C127F4" w:rsidRPr="0083523B">
        <w:rPr>
          <w:rFonts w:ascii="Times New Roman" w:hAnsi="Times New Roman" w:cs="Times New Roman"/>
          <w:kern w:val="0"/>
          <w:szCs w:val="21"/>
        </w:rPr>
        <w:t>(Bhatia et al., 2014; Jin et al., 2013; Yan et al., 2015)</w:t>
      </w:r>
      <w:r w:rsidR="00C127F4" w:rsidRPr="0083523B">
        <w:rPr>
          <w:rFonts w:ascii="Times New Roman" w:hAnsi="Times New Roman" w:cs="Times New Roman"/>
          <w:kern w:val="0"/>
          <w:szCs w:val="21"/>
        </w:rPr>
        <w:fldChar w:fldCharType="end"/>
      </w:r>
      <w:r>
        <w:rPr>
          <w:rFonts w:ascii="Times New Roman" w:hAnsi="Times New Roman" w:cs="Times New Roman" w:hint="eastAsia"/>
          <w:kern w:val="0"/>
          <w:szCs w:val="21"/>
        </w:rPr>
        <w:t xml:space="preserve">. </w:t>
      </w:r>
      <w:r w:rsidR="0049727A">
        <w:rPr>
          <w:rFonts w:ascii="Times New Roman" w:hAnsi="Times New Roman" w:cs="Times New Roman"/>
          <w:kern w:val="0"/>
          <w:szCs w:val="21"/>
        </w:rPr>
        <w:t>T</w:t>
      </w:r>
      <w:r>
        <w:rPr>
          <w:rFonts w:ascii="Times New Roman" w:hAnsi="Times New Roman" w:cs="Times New Roman"/>
          <w:kern w:val="0"/>
          <w:szCs w:val="21"/>
        </w:rPr>
        <w:t>h</w:t>
      </w:r>
      <w:r w:rsidR="0087296A">
        <w:rPr>
          <w:rFonts w:ascii="Times New Roman" w:hAnsi="Times New Roman" w:cs="Times New Roman"/>
          <w:kern w:val="0"/>
          <w:szCs w:val="21"/>
        </w:rPr>
        <w:t>o</w:t>
      </w:r>
      <w:r>
        <w:rPr>
          <w:rFonts w:ascii="Times New Roman" w:hAnsi="Times New Roman" w:cs="Times New Roman"/>
          <w:kern w:val="0"/>
          <w:szCs w:val="21"/>
        </w:rPr>
        <w:t>se results</w:t>
      </w:r>
      <w:r w:rsidR="0049727A">
        <w:rPr>
          <w:rFonts w:ascii="Times New Roman" w:hAnsi="Times New Roman" w:cs="Times New Roman"/>
          <w:kern w:val="0"/>
          <w:szCs w:val="21"/>
        </w:rPr>
        <w:t xml:space="preserve"> </w:t>
      </w:r>
      <w:r>
        <w:rPr>
          <w:rFonts w:ascii="Times New Roman" w:hAnsi="Times New Roman" w:cs="Times New Roman"/>
          <w:kern w:val="0"/>
          <w:szCs w:val="21"/>
        </w:rPr>
        <w:t>inferred that</w:t>
      </w:r>
      <w:r>
        <w:rPr>
          <w:rFonts w:ascii="Times New Roman" w:hAnsi="Times New Roman" w:cs="Times New Roman" w:hint="eastAsia"/>
          <w:kern w:val="0"/>
          <w:szCs w:val="21"/>
        </w:rPr>
        <w:t xml:space="preserve"> BF </w:t>
      </w:r>
      <w:r w:rsidR="00485A1C">
        <w:rPr>
          <w:rFonts w:ascii="Times New Roman" w:hAnsi="Times New Roman" w:cs="Times New Roman"/>
          <w:kern w:val="0"/>
          <w:szCs w:val="21"/>
        </w:rPr>
        <w:t>c</w:t>
      </w:r>
      <w:r w:rsidR="00832DF7">
        <w:rPr>
          <w:rFonts w:ascii="Times New Roman" w:hAnsi="Times New Roman" w:cs="Times New Roman"/>
          <w:kern w:val="0"/>
          <w:szCs w:val="21"/>
        </w:rPr>
        <w:t>ould</w:t>
      </w:r>
      <w:r>
        <w:rPr>
          <w:rFonts w:ascii="Times New Roman" w:hAnsi="Times New Roman" w:cs="Times New Roman" w:hint="eastAsia"/>
          <w:kern w:val="0"/>
          <w:szCs w:val="21"/>
        </w:rPr>
        <w:t xml:space="preserve"> </w:t>
      </w:r>
      <w:r w:rsidR="00485A1C">
        <w:rPr>
          <w:rFonts w:ascii="Times New Roman" w:hAnsi="Times New Roman" w:cs="Times New Roman"/>
          <w:kern w:val="0"/>
          <w:szCs w:val="21"/>
        </w:rPr>
        <w:t>stimulate</w:t>
      </w:r>
      <w:r>
        <w:rPr>
          <w:rFonts w:ascii="Times New Roman" w:hAnsi="Times New Roman" w:cs="Times New Roman" w:hint="eastAsia"/>
          <w:kern w:val="0"/>
          <w:szCs w:val="21"/>
        </w:rPr>
        <w:t xml:space="preserve"> oxidative stress</w:t>
      </w:r>
      <w:r w:rsidR="00485A1C">
        <w:rPr>
          <w:rFonts w:ascii="Times New Roman" w:hAnsi="Times New Roman" w:cs="Times New Roman"/>
          <w:kern w:val="0"/>
          <w:szCs w:val="21"/>
        </w:rPr>
        <w:t xml:space="preserve"> in CGS larvae</w:t>
      </w:r>
      <w:r w:rsidR="0049727A">
        <w:rPr>
          <w:rFonts w:ascii="Times New Roman" w:hAnsi="Times New Roman" w:cs="Times New Roman"/>
          <w:kern w:val="0"/>
          <w:szCs w:val="21"/>
        </w:rPr>
        <w:t>,</w:t>
      </w:r>
      <w:r>
        <w:rPr>
          <w:rFonts w:ascii="Times New Roman" w:hAnsi="Times New Roman" w:cs="Times New Roman" w:hint="eastAsia"/>
          <w:kern w:val="0"/>
          <w:szCs w:val="21"/>
        </w:rPr>
        <w:t xml:space="preserve"> </w:t>
      </w:r>
      <w:r w:rsidR="00832DF7">
        <w:rPr>
          <w:rFonts w:ascii="Times New Roman" w:hAnsi="Times New Roman" w:cs="Times New Roman"/>
          <w:kern w:val="0"/>
          <w:szCs w:val="21"/>
        </w:rPr>
        <w:t>especially</w:t>
      </w:r>
      <w:r w:rsidR="00485A1C">
        <w:rPr>
          <w:rFonts w:ascii="Times New Roman" w:hAnsi="Times New Roman" w:cs="Times New Roman"/>
          <w:kern w:val="0"/>
          <w:szCs w:val="21"/>
        </w:rPr>
        <w:t xml:space="preserve"> </w:t>
      </w:r>
      <w:r w:rsidR="0049727A">
        <w:rPr>
          <w:rFonts w:ascii="Times New Roman" w:hAnsi="Times New Roman" w:cs="Times New Roman"/>
          <w:kern w:val="0"/>
          <w:szCs w:val="21"/>
        </w:rPr>
        <w:t>h</w:t>
      </w:r>
      <w:r>
        <w:rPr>
          <w:rFonts w:ascii="Times New Roman" w:hAnsi="Times New Roman" w:cs="Times New Roman" w:hint="eastAsia"/>
          <w:kern w:val="0"/>
          <w:szCs w:val="21"/>
        </w:rPr>
        <w:t>igh BF</w:t>
      </w:r>
      <w:r>
        <w:rPr>
          <w:rFonts w:ascii="Times New Roman" w:hAnsi="Times New Roman" w:cs="Times New Roman"/>
          <w:kern w:val="0"/>
          <w:szCs w:val="21"/>
        </w:rPr>
        <w:t xml:space="preserve"> </w:t>
      </w:r>
      <w:r w:rsidR="00832DF7">
        <w:rPr>
          <w:rFonts w:ascii="Times New Roman" w:hAnsi="Times New Roman" w:cs="Times New Roman"/>
          <w:kern w:val="0"/>
          <w:szCs w:val="21"/>
        </w:rPr>
        <w:t>exposure</w:t>
      </w:r>
      <w:r>
        <w:rPr>
          <w:rFonts w:ascii="Times New Roman" w:hAnsi="Times New Roman" w:cs="Times New Roman" w:hint="eastAsia"/>
          <w:kern w:val="0"/>
          <w:szCs w:val="21"/>
        </w:rPr>
        <w:t xml:space="preserve"> directly inhibit the catalytic activities of SOD </w:t>
      </w:r>
      <w:r>
        <w:rPr>
          <w:rFonts w:ascii="Times New Roman" w:hAnsi="Times New Roman" w:cs="Times New Roman" w:hint="eastAsia"/>
          <w:kern w:val="0"/>
          <w:szCs w:val="21"/>
        </w:rPr>
        <w:lastRenderedPageBreak/>
        <w:t xml:space="preserve">and CAT, leading </w:t>
      </w:r>
      <w:r>
        <w:rPr>
          <w:rFonts w:ascii="Times New Roman" w:hAnsi="Times New Roman" w:cs="Times New Roman"/>
          <w:kern w:val="0"/>
          <w:szCs w:val="21"/>
        </w:rPr>
        <w:t xml:space="preserve">to </w:t>
      </w:r>
      <w:r w:rsidR="008D6676" w:rsidRPr="008D6676">
        <w:rPr>
          <w:rFonts w:ascii="Times New Roman" w:hAnsi="Times New Roman" w:cs="Times New Roman"/>
          <w:kern w:val="0"/>
          <w:szCs w:val="21"/>
        </w:rPr>
        <w:t>enormous injure</w:t>
      </w:r>
      <w:r>
        <w:rPr>
          <w:rFonts w:ascii="Times New Roman" w:hAnsi="Times New Roman" w:cs="Times New Roman" w:hint="eastAsia"/>
          <w:kern w:val="0"/>
          <w:szCs w:val="21"/>
        </w:rPr>
        <w:t xml:space="preserve"> to the antioxidant system</w:t>
      </w:r>
      <w:r>
        <w:rPr>
          <w:rFonts w:ascii="Times New Roman" w:hAnsi="Times New Roman" w:cs="Times New Roman"/>
          <w:kern w:val="0"/>
          <w:szCs w:val="21"/>
        </w:rPr>
        <w:t xml:space="preserve"> with increasing BF exposure</w:t>
      </w:r>
      <w:r w:rsidR="00433796">
        <w:rPr>
          <w:rFonts w:ascii="Times New Roman" w:hAnsi="Times New Roman" w:cs="Times New Roman"/>
          <w:kern w:val="0"/>
          <w:szCs w:val="21"/>
        </w:rPr>
        <w:t>.</w:t>
      </w:r>
    </w:p>
    <w:p w14:paraId="51FEB53F" w14:textId="24CB928E" w:rsidR="00950088" w:rsidRDefault="00997B2F" w:rsidP="00CA7024">
      <w:pPr>
        <w:suppressAutoHyphens/>
        <w:adjustRightInd w:val="0"/>
        <w:snapToGrid w:val="0"/>
        <w:spacing w:line="480" w:lineRule="auto"/>
        <w:ind w:firstLineChars="200" w:firstLine="420"/>
        <w:rPr>
          <w:rFonts w:ascii="Times New Roman" w:hAnsi="Times New Roman" w:cs="Times New Roman"/>
          <w:kern w:val="0"/>
          <w:szCs w:val="21"/>
        </w:rPr>
      </w:pPr>
      <w:r w:rsidRPr="00CA7024">
        <w:rPr>
          <w:rFonts w:ascii="Times New Roman" w:hAnsi="Times New Roman" w:cs="Times New Roman"/>
          <w:kern w:val="0"/>
          <w:szCs w:val="21"/>
        </w:rPr>
        <w:t>To</w:t>
      </w:r>
      <w:r w:rsidRPr="00997B2F">
        <w:rPr>
          <w:rFonts w:ascii="Times New Roman" w:hAnsi="Times New Roman" w:cs="Times New Roman"/>
          <w:kern w:val="0"/>
          <w:szCs w:val="21"/>
        </w:rPr>
        <w:t> </w:t>
      </w:r>
      <w:r w:rsidRPr="00CA7024">
        <w:rPr>
          <w:rFonts w:ascii="Times New Roman" w:hAnsi="Times New Roman" w:cs="Times New Roman"/>
          <w:kern w:val="0"/>
          <w:szCs w:val="21"/>
        </w:rPr>
        <w:t>gain deeper insight</w:t>
      </w:r>
      <w:r w:rsidRPr="00997B2F">
        <w:rPr>
          <w:rFonts w:ascii="Times New Roman" w:hAnsi="Times New Roman" w:cs="Times New Roman"/>
          <w:kern w:val="0"/>
          <w:szCs w:val="21"/>
        </w:rPr>
        <w:t> in the</w:t>
      </w:r>
      <w:r>
        <w:rPr>
          <w:rFonts w:ascii="Times New Roman" w:hAnsi="Times New Roman" w:cs="Times New Roman"/>
          <w:kern w:val="0"/>
          <w:szCs w:val="21"/>
        </w:rPr>
        <w:t xml:space="preserve"> BF</w:t>
      </w:r>
      <w:r w:rsidR="00435217">
        <w:rPr>
          <w:rFonts w:ascii="Times New Roman" w:hAnsi="Times New Roman" w:cs="Times New Roman"/>
          <w:kern w:val="0"/>
          <w:szCs w:val="21"/>
        </w:rPr>
        <w:t xml:space="preserve"> </w:t>
      </w:r>
      <w:r w:rsidR="00435217">
        <w:rPr>
          <w:rFonts w:ascii="Times New Roman" w:hAnsi="Times New Roman" w:cs="Times New Roman" w:hint="eastAsia"/>
          <w:kern w:val="0"/>
          <w:szCs w:val="21"/>
        </w:rPr>
        <w:t>antioxidant</w:t>
      </w:r>
      <w:r>
        <w:rPr>
          <w:rFonts w:ascii="Times New Roman" w:hAnsi="Times New Roman" w:cs="Times New Roman"/>
          <w:kern w:val="0"/>
          <w:szCs w:val="21"/>
        </w:rPr>
        <w:t xml:space="preserve"> toxic effect on CGS </w:t>
      </w:r>
      <w:r w:rsidR="00435217">
        <w:rPr>
          <w:rFonts w:ascii="Times New Roman" w:hAnsi="Times New Roman" w:cs="Times New Roman"/>
          <w:kern w:val="0"/>
          <w:szCs w:val="21"/>
        </w:rPr>
        <w:t xml:space="preserve">larvae </w:t>
      </w:r>
      <w:r>
        <w:rPr>
          <w:rFonts w:ascii="Times New Roman" w:hAnsi="Times New Roman" w:cs="Times New Roman"/>
          <w:kern w:val="0"/>
          <w:szCs w:val="21"/>
        </w:rPr>
        <w:t xml:space="preserve">at </w:t>
      </w:r>
      <w:r w:rsidRPr="00997B2F">
        <w:rPr>
          <w:rFonts w:ascii="Times New Roman" w:hAnsi="Times New Roman" w:cs="Times New Roman"/>
          <w:kern w:val="0"/>
          <w:szCs w:val="21"/>
        </w:rPr>
        <w:t>molecular levels</w:t>
      </w:r>
      <w:r>
        <w:rPr>
          <w:rFonts w:ascii="Times New Roman" w:hAnsi="Times New Roman" w:cs="Times New Roman"/>
          <w:kern w:val="0"/>
          <w:szCs w:val="21"/>
        </w:rPr>
        <w:t>, t</w:t>
      </w:r>
      <w:r w:rsidRPr="00997B2F">
        <w:rPr>
          <w:rFonts w:ascii="Times New Roman" w:hAnsi="Times New Roman" w:cs="Times New Roman"/>
          <w:kern w:val="0"/>
          <w:szCs w:val="21"/>
        </w:rPr>
        <w:t xml:space="preserve">he </w:t>
      </w:r>
      <w:r>
        <w:rPr>
          <w:rFonts w:ascii="Times New Roman" w:hAnsi="Times New Roman" w:cs="Times New Roman"/>
          <w:kern w:val="0"/>
          <w:szCs w:val="21"/>
        </w:rPr>
        <w:t>t</w:t>
      </w:r>
      <w:r>
        <w:rPr>
          <w:rFonts w:ascii="Times New Roman" w:hAnsi="Times New Roman" w:cs="Times New Roman" w:hint="eastAsia"/>
          <w:kern w:val="0"/>
          <w:szCs w:val="21"/>
        </w:rPr>
        <w:t>ranscriptome analysis</w:t>
      </w:r>
      <w:r w:rsidR="001727C0">
        <w:rPr>
          <w:rFonts w:ascii="Times New Roman" w:hAnsi="Times New Roman" w:cs="Times New Roman"/>
          <w:kern w:val="0"/>
          <w:szCs w:val="21"/>
        </w:rPr>
        <w:t xml:space="preserve"> was conducted in present study. The results</w:t>
      </w:r>
      <w:r>
        <w:rPr>
          <w:rFonts w:ascii="Times New Roman" w:hAnsi="Times New Roman" w:cs="Times New Roman" w:hint="eastAsia"/>
          <w:kern w:val="0"/>
          <w:szCs w:val="21"/>
        </w:rPr>
        <w:t xml:space="preserve"> </w:t>
      </w:r>
      <w:r>
        <w:rPr>
          <w:rFonts w:ascii="Times New Roman" w:hAnsi="Times New Roman" w:cs="Times New Roman"/>
          <w:kern w:val="0"/>
          <w:szCs w:val="21"/>
        </w:rPr>
        <w:t>revealed</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upregulated expression of </w:t>
      </w:r>
      <w:r>
        <w:rPr>
          <w:rFonts w:ascii="Times New Roman" w:hAnsi="Times New Roman" w:cs="Times New Roman" w:hint="eastAsia"/>
          <w:kern w:val="0"/>
          <w:szCs w:val="21"/>
        </w:rPr>
        <w:t xml:space="preserve">genes related to catabolic and ATP-dependent activities </w:t>
      </w:r>
      <w:r w:rsidRPr="00B10584">
        <w:rPr>
          <w:rFonts w:ascii="Times New Roman" w:hAnsi="Times New Roman" w:cs="Times New Roman"/>
          <w:kern w:val="0"/>
          <w:szCs w:val="21"/>
        </w:rPr>
        <w:t>in vivo</w:t>
      </w:r>
      <w:r w:rsidR="005D24A6">
        <w:rPr>
          <w:rFonts w:ascii="Times New Roman" w:hAnsi="Times New Roman" w:cs="Times New Roman"/>
          <w:kern w:val="0"/>
          <w:szCs w:val="21"/>
        </w:rPr>
        <w:t>,</w:t>
      </w:r>
      <w:r>
        <w:rPr>
          <w:rFonts w:ascii="Times New Roman" w:hAnsi="Times New Roman" w:cs="Times New Roman" w:hint="eastAsia"/>
          <w:kern w:val="0"/>
          <w:szCs w:val="21"/>
        </w:rPr>
        <w:t xml:space="preserve"> </w:t>
      </w:r>
      <w:r w:rsidR="005D24A6">
        <w:rPr>
          <w:rFonts w:ascii="Times New Roman" w:hAnsi="Times New Roman" w:cs="Times New Roman"/>
          <w:kern w:val="0"/>
          <w:szCs w:val="21"/>
        </w:rPr>
        <w:t>p</w:t>
      </w:r>
      <w:r>
        <w:rPr>
          <w:rFonts w:ascii="Times New Roman" w:hAnsi="Times New Roman" w:cs="Times New Roman"/>
          <w:kern w:val="0"/>
          <w:szCs w:val="21"/>
        </w:rPr>
        <w:t>articularly</w:t>
      </w:r>
      <w:r w:rsidR="005D24A6">
        <w:rPr>
          <w:rFonts w:ascii="Times New Roman" w:hAnsi="Times New Roman" w:cs="Times New Roman"/>
          <w:kern w:val="0"/>
          <w:szCs w:val="21"/>
        </w:rPr>
        <w:t xml:space="preserve"> the </w:t>
      </w:r>
      <w:r>
        <w:rPr>
          <w:rFonts w:ascii="Times New Roman" w:hAnsi="Times New Roman" w:cs="Times New Roman"/>
          <w:kern w:val="0"/>
          <w:szCs w:val="21"/>
        </w:rPr>
        <w:t xml:space="preserve">genes related to antioxidant activity were downregulated at high BF exposure levels. </w:t>
      </w:r>
      <w:r w:rsidR="005A0F48" w:rsidRPr="005A0F48">
        <w:rPr>
          <w:rFonts w:ascii="Times New Roman" w:hAnsi="Times New Roman" w:cs="Times New Roman"/>
          <w:kern w:val="0"/>
          <w:szCs w:val="21"/>
        </w:rPr>
        <w:t>The differentially expressed genes were enriched in calcium signaling pathway, PPAR signaling pathway and other pathways, which ultimately interfered with the response to reactive oxygen.</w:t>
      </w:r>
      <w:r w:rsidR="005A0F48">
        <w:rPr>
          <w:rFonts w:ascii="Times New Roman" w:hAnsi="Times New Roman" w:cs="Times New Roman"/>
          <w:kern w:val="0"/>
          <w:szCs w:val="21"/>
        </w:rPr>
        <w:t xml:space="preserve"> </w:t>
      </w:r>
      <w:r w:rsidR="002C6545">
        <w:rPr>
          <w:rFonts w:ascii="Times New Roman" w:hAnsi="Times New Roman" w:cs="Times New Roman"/>
          <w:kern w:val="0"/>
          <w:szCs w:val="21"/>
        </w:rPr>
        <w:t xml:space="preserve">Some aquatic organisms, such as </w:t>
      </w:r>
      <w:r w:rsidRPr="00FC3758">
        <w:rPr>
          <w:rFonts w:ascii="Times New Roman" w:hAnsi="Times New Roman" w:cs="Times New Roman"/>
          <w:i/>
          <w:iCs/>
          <w:kern w:val="0"/>
          <w:szCs w:val="21"/>
        </w:rPr>
        <w:t xml:space="preserve">Corbicula </w:t>
      </w:r>
      <w:proofErr w:type="spellStart"/>
      <w:r w:rsidRPr="00FC3758">
        <w:rPr>
          <w:rFonts w:ascii="Times New Roman" w:hAnsi="Times New Roman" w:cs="Times New Roman"/>
          <w:i/>
          <w:iCs/>
          <w:kern w:val="0"/>
          <w:szCs w:val="21"/>
        </w:rPr>
        <w:t>fluminea</w:t>
      </w:r>
      <w:proofErr w:type="spellEnd"/>
      <w:r w:rsidR="002C6545">
        <w:rPr>
          <w:rFonts w:ascii="Times New Roman" w:hAnsi="Times New Roman" w:cs="Times New Roman"/>
          <w:i/>
          <w:iCs/>
          <w:kern w:val="0"/>
          <w:szCs w:val="21"/>
        </w:rPr>
        <w:t xml:space="preserve"> </w:t>
      </w:r>
      <w:r w:rsidR="002C6545" w:rsidRPr="002C6545">
        <w:rPr>
          <w:rFonts w:ascii="Times New Roman" w:hAnsi="Times New Roman" w:cs="Times New Roman"/>
          <w:kern w:val="0"/>
          <w:szCs w:val="21"/>
        </w:rPr>
        <w:t>and zebrafish</w:t>
      </w:r>
      <w:r w:rsidR="002C6545">
        <w:rPr>
          <w:rFonts w:ascii="Times New Roman" w:hAnsi="Times New Roman" w:cs="Times New Roman"/>
          <w:kern w:val="0"/>
          <w:szCs w:val="21"/>
        </w:rPr>
        <w:t>,</w:t>
      </w:r>
      <w:r>
        <w:rPr>
          <w:rFonts w:ascii="Times New Roman" w:hAnsi="Times New Roman" w:cs="Times New Roman" w:hint="eastAsia"/>
          <w:kern w:val="0"/>
          <w:szCs w:val="21"/>
        </w:rPr>
        <w:t xml:space="preserve"> exposed to </w:t>
      </w:r>
      <w:r w:rsidR="002C6545" w:rsidRPr="002C6545">
        <w:rPr>
          <w:rFonts w:ascii="Times New Roman" w:hAnsi="Times New Roman" w:cs="Times New Roman"/>
          <w:kern w:val="0"/>
          <w:szCs w:val="21"/>
        </w:rPr>
        <w:t>pyrethroids</w:t>
      </w:r>
      <w:r>
        <w:rPr>
          <w:rFonts w:ascii="Times New Roman" w:hAnsi="Times New Roman" w:cs="Times New Roman" w:hint="eastAsia"/>
          <w:kern w:val="0"/>
          <w:szCs w:val="21"/>
        </w:rPr>
        <w:t xml:space="preserve"> showed a similar phenomenon</w:t>
      </w:r>
      <w:r w:rsidR="005A0F48">
        <w:rPr>
          <w:rFonts w:ascii="Times New Roman" w:hAnsi="Times New Roman" w:cs="Times New Roman"/>
          <w:kern w:val="0"/>
          <w:szCs w:val="21"/>
        </w:rPr>
        <w:t>,</w:t>
      </w:r>
      <w:r>
        <w:rPr>
          <w:rFonts w:ascii="Times New Roman" w:hAnsi="Times New Roman" w:cs="Times New Roman"/>
          <w:kern w:val="0"/>
          <w:szCs w:val="21"/>
        </w:rPr>
        <w:t xml:space="preserve"> the</w:t>
      </w:r>
      <w:r>
        <w:rPr>
          <w:rFonts w:ascii="Times New Roman" w:hAnsi="Times New Roman" w:cs="Times New Roman" w:hint="eastAsia"/>
          <w:kern w:val="0"/>
          <w:szCs w:val="21"/>
        </w:rPr>
        <w:t xml:space="preserve"> </w:t>
      </w:r>
      <w:r>
        <w:rPr>
          <w:rFonts w:ascii="Times New Roman" w:hAnsi="Times New Roman" w:cs="Times New Roman"/>
          <w:kern w:val="0"/>
          <w:szCs w:val="21"/>
        </w:rPr>
        <w:t xml:space="preserve">genes </w:t>
      </w:r>
      <w:r>
        <w:rPr>
          <w:rFonts w:ascii="Times New Roman" w:hAnsi="Times New Roman" w:cs="Times New Roman" w:hint="eastAsia"/>
          <w:kern w:val="0"/>
          <w:szCs w:val="21"/>
        </w:rPr>
        <w:t xml:space="preserve">which </w:t>
      </w:r>
      <w:r w:rsidR="003C1274">
        <w:rPr>
          <w:rFonts w:ascii="Times New Roman" w:hAnsi="Times New Roman" w:cs="Times New Roman"/>
          <w:kern w:val="0"/>
          <w:szCs w:val="21"/>
        </w:rPr>
        <w:t>correlate to</w:t>
      </w:r>
      <w:r>
        <w:rPr>
          <w:rFonts w:ascii="Times New Roman" w:eastAsia="宋体" w:hAnsi="Times New Roman" w:cs="Times New Roman"/>
          <w:kern w:val="0"/>
          <w:szCs w:val="21"/>
        </w:rPr>
        <w:t xml:space="preserve"> ROS </w:t>
      </w:r>
      <w:r w:rsidR="003C1274">
        <w:rPr>
          <w:rFonts w:ascii="Times New Roman" w:eastAsia="宋体" w:hAnsi="Times New Roman" w:cs="Times New Roman"/>
          <w:kern w:val="0"/>
          <w:szCs w:val="21"/>
        </w:rPr>
        <w:t xml:space="preserve">production </w:t>
      </w:r>
      <w:r>
        <w:rPr>
          <w:rFonts w:ascii="Times New Roman" w:eastAsia="宋体" w:hAnsi="Times New Roman" w:cs="Times New Roman"/>
          <w:kern w:val="0"/>
          <w:szCs w:val="21"/>
        </w:rPr>
        <w:t>and ATP synthesis</w:t>
      </w:r>
      <w:r w:rsidR="003C1274" w:rsidRPr="003C1274">
        <w:rPr>
          <w:rFonts w:ascii="Times New Roman" w:hAnsi="Times New Roman" w:cs="Times New Roman" w:hint="eastAsia"/>
          <w:kern w:val="0"/>
          <w:szCs w:val="21"/>
        </w:rPr>
        <w:t xml:space="preserve"> </w:t>
      </w:r>
      <w:r w:rsidR="003C1274">
        <w:rPr>
          <w:rFonts w:ascii="Times New Roman" w:hAnsi="Times New Roman" w:cs="Times New Roman" w:hint="eastAsia"/>
          <w:kern w:val="0"/>
          <w:szCs w:val="21"/>
        </w:rPr>
        <w:t xml:space="preserve">were significantly downregulated in </w:t>
      </w:r>
      <w:r w:rsidR="003C1274">
        <w:rPr>
          <w:rFonts w:ascii="Times New Roman" w:hAnsi="Times New Roman" w:cs="Times New Roman"/>
          <w:kern w:val="0"/>
          <w:szCs w:val="21"/>
        </w:rPr>
        <w:t>vivo</w:t>
      </w:r>
      <w:r w:rsidR="003C1274">
        <w:rPr>
          <w:rFonts w:ascii="Times New Roman" w:hAnsi="Times New Roman" w:cs="Times New Roman" w:hint="eastAsia"/>
          <w:kern w:val="0"/>
          <w:szCs w:val="21"/>
        </w:rPr>
        <w:t>,</w:t>
      </w:r>
      <w:r>
        <w:rPr>
          <w:rFonts w:ascii="Times New Roman" w:eastAsia="宋体" w:hAnsi="Times New Roman" w:cs="Times New Roman"/>
          <w:kern w:val="0"/>
          <w:szCs w:val="21"/>
        </w:rPr>
        <w:t xml:space="preserve"> </w:t>
      </w:r>
      <w:r w:rsidR="003C1274">
        <w:rPr>
          <w:rFonts w:ascii="Times New Roman" w:eastAsia="宋体" w:hAnsi="Times New Roman" w:cs="Times New Roman"/>
          <w:kern w:val="0"/>
          <w:szCs w:val="21"/>
        </w:rPr>
        <w:t>affecting</w:t>
      </w:r>
      <w:r>
        <w:rPr>
          <w:rFonts w:ascii="Times New Roman" w:eastAsia="宋体" w:hAnsi="Times New Roman" w:cs="Times New Roman"/>
          <w:kern w:val="0"/>
          <w:szCs w:val="21"/>
        </w:rPr>
        <w:t xml:space="preserve"> the balance </w:t>
      </w:r>
      <w:r>
        <w:rPr>
          <w:rFonts w:ascii="Times New Roman" w:hAnsi="Times New Roman" w:cs="Times New Roman" w:hint="eastAsia"/>
          <w:kern w:val="0"/>
          <w:szCs w:val="21"/>
        </w:rPr>
        <w:t xml:space="preserve">between oxidants and antioxidants </w:t>
      </w:r>
      <w:r w:rsidR="001F73E6">
        <w:rPr>
          <w:rFonts w:ascii="Times New Roman" w:hAnsi="Times New Roman" w:cs="Times New Roman"/>
          <w:kern w:val="0"/>
          <w:szCs w:val="21"/>
          <w:vertAlign w:val="superscript"/>
        </w:rPr>
        <w:fldChar w:fldCharType="begin" w:fldLock="1"/>
      </w:r>
      <w:r w:rsidR="007951C7">
        <w:rPr>
          <w:rFonts w:ascii="Times New Roman" w:hAnsi="Times New Roman" w:cs="Times New Roman"/>
          <w:kern w:val="0"/>
          <w:szCs w:val="21"/>
          <w:vertAlign w:val="superscript"/>
        </w:rPr>
        <w:instrText>ADDIN CSL_CITATION {"citationItems":[{"id":"ITEM-1","itemData":{"DOI":"10.1016/j.chemosphere.2018.12.026","ISSN":"18791298","PMID":"30553213","abstract":"Pyrethroids are potent neurotoxicants that may elicit multiple pathways of toxicity in non-target organisms. Comparative studies on the mechanistic and developmental effects of types I and II pyrethroids against non-target aquatic species are limited. This study assessed the effects of the two pyrethroid types against embryo-larval zebrafish (Danio rerio) at environmentally relevant and laboratory concentrations. Zebrafish embryos were exposed to type-I (permethrin, bifenthrin) and type-II (deltamethrin, λ-cyhalothrin, fenvalerate, esfenvalerate) pyrethroids at 1000, 10, 0.1, 0.01, 0.0 μg/L, starting at 5-h post-fertilization (hpf) through 5-d post-fertilization (dpf) under static exposure conditions. Swimming behavior (distance traveled and velocity) was assessed at 5-dpf. The relative expression of Nrf2a, GST, Casp-9 and p53 mRNA transcripts, carboxyl esterase (CES) activity and total reactive oxygen species (ROS) were measured. The stability of the pyrethroids across 5 days was analyzed. Bifenthrin-(10 μg/L) and esfenvalerate-(1000 μg/L) significantly (p &lt; 0.05) reduced total distance traveled by larvae while 1000 μg/L deltamethrin and λ-cyhalothrin were lethal causing body axis curvature and pericardial edema. At environmentally relevant concentrations-(μg/L) compared to control, permethrin-(0.122) upregulated Nrf2a and Casp-9 expressions while λ-cyhalothrin-(0.053) downregulated Nrf2a and fenvalerate-0.037 downregulated GST. At laboratory concentrations-(μg/L), permethrin-(1000) upregulated Nrf2a, Casp-9 and p53 expressions, bifenthrin-(10) upregulated Casp-9 while fenvalerate-(0.1) and esfenvalerate-(1000) downregulated GST. There was concentration dependent increase in CES activity which correlated positively with total ROS. Pyrethroid concentrations decreased significantly by day 5. This study showed disparity in the mechanistic effects across the pyrethroids types and their instability in aqueous media may underestimate toxicity against non-target aquatic species when exposed in their natural environment.","author":[{"dropping-particle":"","family":"Awoyemi","given":"Olushola M.","non-dropping-particle":"","parse-names":false,"suffix":""},{"dropping-particle":"","family":"Kumar","given":"Naveen","non-dropping-particle":"","parse-names":false,"suffix":""},{"dropping-particle":"","family":"Schmitt","given":"Cassandra","non-dropping-particle":"","parse-names":false,"suffix":""},{"dropping-particle":"","family":"Subbiah","given":"Seenivasan","non-dropping-particle":"","parse-names":false,"suffix":""},{"dropping-particle":"","family":"Crago","given":"Jordan","non-dropping-particle":"","parse-names":false,"suffix":""}],"container-title":"Chemosphere","id":"ITEM-1","issued":{"date-parts":[["2019"]]},"page":"526-537","publisher":"Elsevier Ltd","title":"Behavioral, molecular and physiological responses of embryo-larval zebrafish exposed to types I and II pyrethroids","type":"article-journal","volume":"219"},"uris":["http://www.mendeley.com/documents/?uuid=c5dd6b86-176c-4b9d-99eb-f40f27db4e70"]},{"id":"ITEM-2","itemData":{"DOI":"10.1016/j.scitotenv.2020.138821","ISSN":"18791026","PMID":"32361119","abstract":"Bifenthrin (BF) is an insecticide that is commonly used to control agricultural and domestic pests and is widespread in aquatic environments. Although previous studies have found that BF is toxic to aquatic organisms, such a comprehensive study of the mechanism of toxic effects in bivalves is not common. In this study, to assess the toxic effects of BF on bivalves, adult Corbicula fluminea (C. fluminea) were exposed to 0, 1, 5, and 25 μg/L BF for 15 days. Transcriptome analysis revealed that BF exposure significantly altered the expression of genes involved in detoxification, antioxidation, and metabolism. Moreover, the ROS content and GST activity at 25 μg/L treatments were significantly increased (p &lt; 0.05), and significant increases of MDA concentration and CAT activity were observed at 5 and 25 μg/L treatments (p &lt; 0.05). However, AChE activity was markedly inhibited at 25 μg/L treatments (p &lt; 0.05). In addition, vacuolation in the digestive tubules and the hemolytic infiltration of connective tissue were observed at all treatments, and the degeneration of the digestive tubule was observed at 5 and 25 μg/L treatments. In the behavioural assay, the siphoning behaviour of C. fluminea was significantly inhibited at 25 μg/L treatments (p &lt; 0.05), whereas no significant change in burrowing behaviour was observed. Our findings suggested that BF exposure caused changes in detoxification, antioxidation, and metabolism pathways, biomarker activity or concentrations and histopathological characteristics, resulting in changes in behaviour. Therefore, our findings provide a basis for further evaluation of the toxicity of pyrethroid insecticides in bivalves.","author":[{"dropping-particle":"","family":"Zhang","given":"Huan","non-dropping-particle":"","parse-names":false,"suffix":""},{"dropping-particle":"","family":"Hong","given":"Xiangsheng","non-dropping-particle":"","parse-names":false,"suffix":""},{"dropping-particle":"","family":"Yan","given":"Saihong","non-dropping-particle":"","parse-names":false,"suffix":""},{"dropping-particle":"","family":"Zha","given":"Jinmiao","non-dropping-particle":"","parse-names":false,"suffix":""},{"dropping-particle":"","family":"Qin","given":"Jianhui","non-dropping-particle":"","parse-names":false,"suffix":""}],"container-title":"Science of the Total Environment","id":"ITEM-2","issued":{"date-parts":[["2020"]]},"page":"138821","publisher":"Elsevier B.V.","title":"Environmentally relevant concentrations of bifenthrin induce changes in behaviour, biomarkers, histological characteristics, and the transcriptome in Corbicula fluminea","type":"article-journal","volume":"728"},"uris":["http://www.mendeley.com/documents/?uuid=c72dacdf-f492-4629-8b9e-8bb04a1cf123"]}],"mendeley":{"formattedCitation":"(Awoyemi et al., 2019; H. Zhang et al., 2020)","plainTextFormattedCitation":"(Awoyemi et al., 2019; H. Zhang et al., 2020)","previouslyFormattedCitation":"(Awoyemi et al., 2019; H. Zhang et al., 2020)"},"properties":{"noteIndex":0},"schema":"https://github.com/citation-style-language/schema/raw/master/csl-citation.json"}</w:instrText>
      </w:r>
      <w:r w:rsidR="001F73E6">
        <w:rPr>
          <w:rFonts w:ascii="Times New Roman" w:hAnsi="Times New Roman" w:cs="Times New Roman"/>
          <w:kern w:val="0"/>
          <w:szCs w:val="21"/>
          <w:vertAlign w:val="superscript"/>
        </w:rPr>
        <w:fldChar w:fldCharType="separate"/>
      </w:r>
      <w:r w:rsidR="007951C7" w:rsidRPr="007951C7">
        <w:rPr>
          <w:rFonts w:ascii="Times New Roman" w:hAnsi="Times New Roman" w:cs="Times New Roman"/>
          <w:noProof/>
          <w:kern w:val="0"/>
          <w:szCs w:val="21"/>
        </w:rPr>
        <w:t>(Awoyemi et al., 2019; H. Zhang et al., 2020)</w:t>
      </w:r>
      <w:r w:rsidR="001F73E6">
        <w:rPr>
          <w:rFonts w:ascii="Times New Roman" w:hAnsi="Times New Roman" w:cs="Times New Roman"/>
          <w:kern w:val="0"/>
          <w:szCs w:val="21"/>
          <w:vertAlign w:val="superscript"/>
        </w:rPr>
        <w:fldChar w:fldCharType="end"/>
      </w:r>
      <w:r>
        <w:rPr>
          <w:rFonts w:ascii="Times New Roman" w:hAnsi="Times New Roman" w:cs="Times New Roman" w:hint="eastAsia"/>
          <w:kern w:val="0"/>
          <w:szCs w:val="21"/>
        </w:rPr>
        <w:t>. In summary, the abnormal antioxidant indexes of CGS</w:t>
      </w:r>
      <w:r w:rsidR="00053CF1">
        <w:rPr>
          <w:rFonts w:ascii="Times New Roman" w:hAnsi="Times New Roman" w:cs="Times New Roman"/>
          <w:kern w:val="0"/>
          <w:szCs w:val="21"/>
        </w:rPr>
        <w:t xml:space="preserve"> larvae</w:t>
      </w:r>
      <w:r>
        <w:rPr>
          <w:rFonts w:ascii="Times New Roman" w:hAnsi="Times New Roman" w:cs="Times New Roman" w:hint="eastAsia"/>
          <w:kern w:val="0"/>
          <w:szCs w:val="21"/>
        </w:rPr>
        <w:t xml:space="preserve"> caused by BF may be </w:t>
      </w:r>
      <w:r>
        <w:rPr>
          <w:rFonts w:ascii="Times New Roman" w:hAnsi="Times New Roman" w:cs="Times New Roman"/>
          <w:kern w:val="0"/>
          <w:szCs w:val="21"/>
        </w:rPr>
        <w:t>due to</w:t>
      </w:r>
      <w:r>
        <w:rPr>
          <w:rFonts w:ascii="Times New Roman" w:hAnsi="Times New Roman" w:cs="Times New Roman" w:hint="eastAsia"/>
          <w:kern w:val="0"/>
          <w:szCs w:val="21"/>
        </w:rPr>
        <w:t xml:space="preserve"> abnormal </w:t>
      </w:r>
      <w:r w:rsidR="00053CF1">
        <w:rPr>
          <w:rFonts w:ascii="Times New Roman" w:hAnsi="Times New Roman" w:cs="Times New Roman"/>
          <w:kern w:val="0"/>
          <w:szCs w:val="21"/>
        </w:rPr>
        <w:t>production and accumulation</w:t>
      </w:r>
      <w:r>
        <w:rPr>
          <w:rFonts w:ascii="Times New Roman" w:hAnsi="Times New Roman" w:cs="Times New Roman" w:hint="eastAsia"/>
          <w:kern w:val="0"/>
          <w:szCs w:val="21"/>
        </w:rPr>
        <w:t xml:space="preserve"> of ROS</w:t>
      </w:r>
      <w:r>
        <w:rPr>
          <w:rFonts w:ascii="Times New Roman" w:hAnsi="Times New Roman" w:cs="Times New Roman"/>
          <w:kern w:val="0"/>
          <w:szCs w:val="21"/>
        </w:rPr>
        <w:t>,</w:t>
      </w:r>
      <w:r>
        <w:rPr>
          <w:rFonts w:ascii="Times New Roman" w:hAnsi="Times New Roman" w:cs="Times New Roman" w:hint="eastAsia"/>
          <w:kern w:val="0"/>
          <w:szCs w:val="21"/>
        </w:rPr>
        <w:t xml:space="preserve"> caus</w:t>
      </w:r>
      <w:r>
        <w:rPr>
          <w:rFonts w:ascii="Times New Roman" w:hAnsi="Times New Roman" w:cs="Times New Roman"/>
          <w:kern w:val="0"/>
          <w:szCs w:val="21"/>
        </w:rPr>
        <w:t>ing</w:t>
      </w:r>
      <w:r>
        <w:rPr>
          <w:rFonts w:ascii="Times New Roman" w:hAnsi="Times New Roman" w:cs="Times New Roman" w:hint="eastAsia"/>
          <w:kern w:val="0"/>
          <w:szCs w:val="21"/>
        </w:rPr>
        <w:t xml:space="preserve"> </w:t>
      </w:r>
      <w:r>
        <w:rPr>
          <w:rFonts w:ascii="Times New Roman" w:hAnsi="Times New Roman" w:cs="Times New Roman"/>
          <w:kern w:val="0"/>
          <w:szCs w:val="21"/>
        </w:rPr>
        <w:t>abundant</w:t>
      </w:r>
      <w:r>
        <w:rPr>
          <w:rFonts w:ascii="Times New Roman" w:hAnsi="Times New Roman" w:cs="Times New Roman" w:hint="eastAsia"/>
          <w:kern w:val="0"/>
          <w:szCs w:val="21"/>
        </w:rPr>
        <w:t xml:space="preserve"> upregulation of molecular functional genes such as cata</w:t>
      </w:r>
      <w:r>
        <w:rPr>
          <w:rFonts w:ascii="Times New Roman" w:eastAsia="宋体" w:hAnsi="Times New Roman" w:cs="Times New Roman"/>
          <w:kern w:val="0"/>
          <w:szCs w:val="21"/>
        </w:rPr>
        <w:t xml:space="preserve">lytic </w:t>
      </w:r>
      <w:r>
        <w:rPr>
          <w:rFonts w:ascii="Times New Roman" w:hAnsi="Times New Roman" w:cs="Times New Roman" w:hint="eastAsia"/>
          <w:kern w:val="0"/>
          <w:szCs w:val="21"/>
        </w:rPr>
        <w:t>activity and ATP-dependent activity</w:t>
      </w:r>
      <w:r>
        <w:rPr>
          <w:rFonts w:ascii="Times New Roman" w:hAnsi="Times New Roman" w:cs="Times New Roman"/>
          <w:kern w:val="0"/>
          <w:szCs w:val="21"/>
        </w:rPr>
        <w:t>, and abnormal regulation of the calcium signaling pathway</w:t>
      </w:r>
      <w:r w:rsidR="00053CF1">
        <w:rPr>
          <w:rFonts w:ascii="Times New Roman" w:hAnsi="Times New Roman" w:cs="Times New Roman"/>
          <w:kern w:val="0"/>
          <w:szCs w:val="21"/>
        </w:rPr>
        <w:t xml:space="preserve">, </w:t>
      </w:r>
      <w:r w:rsidR="00053CF1" w:rsidRPr="005A0F48">
        <w:rPr>
          <w:rFonts w:ascii="Times New Roman" w:hAnsi="Times New Roman" w:cs="Times New Roman"/>
          <w:kern w:val="0"/>
          <w:szCs w:val="21"/>
        </w:rPr>
        <w:t>PPAR signaling pathway</w:t>
      </w:r>
      <w:r w:rsidR="00053CF1">
        <w:rPr>
          <w:rFonts w:ascii="Times New Roman" w:hAnsi="Times New Roman" w:cs="Times New Roman"/>
          <w:kern w:val="0"/>
          <w:szCs w:val="21"/>
        </w:rPr>
        <w:t xml:space="preserve">, </w:t>
      </w:r>
      <w:proofErr w:type="spellStart"/>
      <w:r w:rsidR="00053CF1">
        <w:rPr>
          <w:rFonts w:ascii="Times New Roman" w:hAnsi="Times New Roman" w:cs="Times New Roman"/>
          <w:kern w:val="0"/>
          <w:szCs w:val="21"/>
        </w:rPr>
        <w:t>ect</w:t>
      </w:r>
      <w:proofErr w:type="spellEnd"/>
      <w:r w:rsidR="00053CF1">
        <w:rPr>
          <w:rFonts w:ascii="Times New Roman" w:hAnsi="Times New Roman" w:cs="Times New Roman"/>
          <w:kern w:val="0"/>
          <w:szCs w:val="21"/>
        </w:rPr>
        <w:t>.</w:t>
      </w:r>
      <w:r>
        <w:rPr>
          <w:rFonts w:ascii="Times New Roman" w:hAnsi="Times New Roman" w:cs="Times New Roman"/>
          <w:kern w:val="0"/>
          <w:szCs w:val="21"/>
        </w:rPr>
        <w:t xml:space="preserve"> Further</w:t>
      </w:r>
      <w:r w:rsidR="004F061A">
        <w:rPr>
          <w:rFonts w:ascii="Times New Roman" w:hAnsi="Times New Roman" w:cs="Times New Roman"/>
          <w:kern w:val="0"/>
          <w:szCs w:val="21"/>
        </w:rPr>
        <w:t>more</w:t>
      </w:r>
      <w:r>
        <w:rPr>
          <w:rFonts w:ascii="Times New Roman" w:hAnsi="Times New Roman" w:cs="Times New Roman"/>
          <w:kern w:val="0"/>
          <w:szCs w:val="21"/>
        </w:rPr>
        <w:t xml:space="preserve">, the </w:t>
      </w:r>
      <w:r>
        <w:rPr>
          <w:rFonts w:ascii="Times New Roman" w:hAnsi="Times New Roman" w:cs="Times New Roman" w:hint="eastAsia"/>
          <w:kern w:val="0"/>
          <w:szCs w:val="21"/>
        </w:rPr>
        <w:t xml:space="preserve">upregulation of the antioxidant activity gene in the high </w:t>
      </w:r>
      <w:r>
        <w:rPr>
          <w:rFonts w:ascii="Times New Roman" w:hAnsi="Times New Roman" w:cs="Times New Roman"/>
          <w:kern w:val="0"/>
          <w:szCs w:val="21"/>
        </w:rPr>
        <w:t>BF</w:t>
      </w:r>
      <w:r w:rsidR="004F061A">
        <w:rPr>
          <w:rFonts w:ascii="Times New Roman" w:hAnsi="Times New Roman" w:cs="Times New Roman"/>
          <w:kern w:val="0"/>
          <w:szCs w:val="21"/>
        </w:rPr>
        <w:t xml:space="preserve"> exposure</w:t>
      </w:r>
      <w:r>
        <w:rPr>
          <w:rFonts w:ascii="Times New Roman" w:hAnsi="Times New Roman" w:cs="Times New Roman"/>
          <w:kern w:val="0"/>
          <w:szCs w:val="21"/>
        </w:rPr>
        <w:t xml:space="preserve"> group</w:t>
      </w:r>
      <w:r>
        <w:rPr>
          <w:rFonts w:ascii="Times New Roman" w:hAnsi="Times New Roman" w:cs="Times New Roman" w:hint="eastAsia"/>
          <w:kern w:val="0"/>
          <w:szCs w:val="21"/>
        </w:rPr>
        <w:t xml:space="preserve"> reflect</w:t>
      </w:r>
      <w:r>
        <w:rPr>
          <w:rFonts w:ascii="Times New Roman" w:hAnsi="Times New Roman" w:cs="Times New Roman"/>
          <w:kern w:val="0"/>
          <w:szCs w:val="21"/>
        </w:rPr>
        <w:t>s</w:t>
      </w:r>
      <w:r>
        <w:rPr>
          <w:rFonts w:ascii="Times New Roman" w:hAnsi="Times New Roman" w:cs="Times New Roman" w:hint="eastAsia"/>
          <w:kern w:val="0"/>
          <w:szCs w:val="21"/>
        </w:rPr>
        <w:t xml:space="preserve"> the </w:t>
      </w:r>
      <w:r w:rsidR="00CA0B0D">
        <w:rPr>
          <w:rFonts w:ascii="Times New Roman" w:hAnsi="Times New Roman" w:cs="Times New Roman"/>
          <w:kern w:val="0"/>
          <w:szCs w:val="21"/>
        </w:rPr>
        <w:t>emergency</w:t>
      </w:r>
      <w:r>
        <w:rPr>
          <w:rFonts w:ascii="Times New Roman" w:hAnsi="Times New Roman" w:cs="Times New Roman" w:hint="eastAsia"/>
          <w:kern w:val="0"/>
          <w:szCs w:val="21"/>
        </w:rPr>
        <w:t xml:space="preserve"> response of CGS</w:t>
      </w:r>
      <w:r>
        <w:rPr>
          <w:rFonts w:ascii="Times New Roman" w:hAnsi="Times New Roman" w:cs="Times New Roman"/>
          <w:kern w:val="0"/>
          <w:szCs w:val="21"/>
        </w:rPr>
        <w:t xml:space="preserve"> larvae</w:t>
      </w:r>
      <w:r>
        <w:rPr>
          <w:rFonts w:ascii="Times New Roman" w:hAnsi="Times New Roman" w:cs="Times New Roman" w:hint="eastAsia"/>
          <w:kern w:val="0"/>
          <w:szCs w:val="21"/>
        </w:rPr>
        <w:t xml:space="preserve"> to toxic</w:t>
      </w:r>
      <w:r>
        <w:rPr>
          <w:rFonts w:ascii="Times New Roman" w:hAnsi="Times New Roman" w:cs="Times New Roman"/>
          <w:kern w:val="0"/>
          <w:szCs w:val="21"/>
        </w:rPr>
        <w:t>ity</w:t>
      </w:r>
      <w:r>
        <w:rPr>
          <w:rFonts w:ascii="Times New Roman" w:hAnsi="Times New Roman" w:cs="Times New Roman" w:hint="eastAsia"/>
          <w:kern w:val="0"/>
          <w:szCs w:val="21"/>
        </w:rPr>
        <w:t xml:space="preserve"> inhibited catalytic activity.</w:t>
      </w:r>
    </w:p>
    <w:p w14:paraId="3AD4997B" w14:textId="38A376AE" w:rsidR="00950088" w:rsidRDefault="00000000" w:rsidP="00FC3758">
      <w:pPr>
        <w:pStyle w:val="af"/>
        <w:numPr>
          <w:ilvl w:val="1"/>
          <w:numId w:val="1"/>
        </w:numPr>
        <w:suppressAutoHyphens/>
        <w:adjustRightInd w:val="0"/>
        <w:snapToGrid w:val="0"/>
        <w:spacing w:line="360" w:lineRule="auto"/>
        <w:ind w:left="0" w:firstLineChars="0" w:firstLine="0"/>
        <w:rPr>
          <w:rFonts w:ascii="Times New Roman" w:hAnsi="Times New Roman" w:cs="Times New Roman"/>
          <w:kern w:val="0"/>
          <w:szCs w:val="21"/>
        </w:rPr>
      </w:pPr>
      <w:r>
        <w:rPr>
          <w:rFonts w:ascii="Times New Roman" w:hAnsi="Times New Roman" w:cs="Times New Roman"/>
          <w:kern w:val="0"/>
          <w:szCs w:val="21"/>
        </w:rPr>
        <w:t>Effects of BF on DNA damage in CGS larvae</w:t>
      </w:r>
    </w:p>
    <w:p w14:paraId="0910E0AC" w14:textId="2AC840A9" w:rsidR="00950088" w:rsidRPr="00FC3758" w:rsidRDefault="00A57C1D" w:rsidP="0083523B">
      <w:pPr>
        <w:spacing w:line="360" w:lineRule="auto"/>
        <w:ind w:firstLineChars="200" w:firstLine="420"/>
        <w:rPr>
          <w:rFonts w:ascii="Times New Roman" w:eastAsia="宋体" w:hAnsi="Times New Roman" w:cs="Times New Roman"/>
          <w:kern w:val="0"/>
          <w:szCs w:val="21"/>
        </w:rPr>
      </w:pPr>
      <w:r>
        <w:rPr>
          <w:rFonts w:ascii="Times New Roman" w:hAnsi="Times New Roman" w:cs="Times New Roman"/>
          <w:kern w:val="0"/>
          <w:szCs w:val="21"/>
        </w:rPr>
        <w:t>Novel pesticides</w:t>
      </w:r>
      <w:r w:rsidR="00553528">
        <w:rPr>
          <w:rFonts w:ascii="Times New Roman" w:hAnsi="Times New Roman" w:cs="Times New Roman"/>
          <w:kern w:val="0"/>
          <w:szCs w:val="21"/>
        </w:rPr>
        <w:t xml:space="preserve"> not only</w:t>
      </w:r>
      <w:r w:rsidR="004A4F57" w:rsidRPr="0083523B">
        <w:rPr>
          <w:rFonts w:ascii="Times New Roman" w:hAnsi="Times New Roman" w:cs="Times New Roman"/>
          <w:kern w:val="0"/>
          <w:szCs w:val="21"/>
        </w:rPr>
        <w:t xml:space="preserve"> induce </w:t>
      </w:r>
      <w:r>
        <w:rPr>
          <w:rFonts w:ascii="Times New Roman" w:hAnsi="Times New Roman" w:cs="Times New Roman"/>
          <w:kern w:val="0"/>
          <w:szCs w:val="21"/>
        </w:rPr>
        <w:t xml:space="preserve">the increasing of </w:t>
      </w:r>
      <w:r w:rsidR="004A4F57" w:rsidRPr="0083523B">
        <w:rPr>
          <w:rFonts w:ascii="Times New Roman" w:hAnsi="Times New Roman" w:cs="Times New Roman"/>
          <w:kern w:val="0"/>
          <w:szCs w:val="21"/>
        </w:rPr>
        <w:t xml:space="preserve">ROS and MDA concentration in </w:t>
      </w:r>
      <w:r>
        <w:rPr>
          <w:rFonts w:ascii="Times New Roman" w:hAnsi="Times New Roman" w:cs="Times New Roman"/>
          <w:kern w:val="0"/>
          <w:szCs w:val="21"/>
        </w:rPr>
        <w:t>vivo</w:t>
      </w:r>
      <w:r w:rsidR="004A4F57" w:rsidRPr="0083523B">
        <w:rPr>
          <w:rFonts w:ascii="Times New Roman" w:hAnsi="Times New Roman" w:cs="Times New Roman"/>
          <w:kern w:val="0"/>
          <w:szCs w:val="21"/>
        </w:rPr>
        <w:t xml:space="preserve">, which are </w:t>
      </w:r>
      <w:r w:rsidR="00553528">
        <w:rPr>
          <w:rFonts w:ascii="Times New Roman" w:hAnsi="Times New Roman" w:cs="Times New Roman" w:hint="eastAsia"/>
          <w:kern w:val="0"/>
          <w:szCs w:val="21"/>
        </w:rPr>
        <w:t>also</w:t>
      </w:r>
      <w:r w:rsidR="00553528">
        <w:rPr>
          <w:rFonts w:ascii="Times New Roman" w:hAnsi="Times New Roman" w:cs="Times New Roman"/>
          <w:kern w:val="0"/>
          <w:szCs w:val="21"/>
        </w:rPr>
        <w:t xml:space="preserve"> </w:t>
      </w:r>
      <w:r w:rsidR="004A4F57" w:rsidRPr="0083523B">
        <w:rPr>
          <w:rFonts w:ascii="Times New Roman" w:hAnsi="Times New Roman" w:cs="Times New Roman"/>
          <w:kern w:val="0"/>
          <w:szCs w:val="21"/>
        </w:rPr>
        <w:t>two main causes of DNA damage</w:t>
      </w:r>
      <w:r w:rsidR="00F102AF">
        <w:rPr>
          <w:rFonts w:ascii="Times New Roman" w:hAnsi="Times New Roman" w:cs="Times New Roman"/>
          <w:kern w:val="0"/>
          <w:szCs w:val="21"/>
        </w:rPr>
        <w:t xml:space="preserve">, suggesting that </w:t>
      </w:r>
      <w:r w:rsidR="00DB583F" w:rsidRPr="0083523B">
        <w:rPr>
          <w:rFonts w:ascii="Times New Roman" w:hAnsi="Times New Roman" w:cs="Times New Roman"/>
          <w:kern w:val="0"/>
          <w:szCs w:val="21"/>
        </w:rPr>
        <w:t xml:space="preserve">oxidative stress is closely related to DNA </w:t>
      </w:r>
      <w:r w:rsidR="00F102AF">
        <w:rPr>
          <w:rFonts w:ascii="Times New Roman" w:hAnsi="Times New Roman" w:cs="Times New Roman"/>
          <w:kern w:val="0"/>
          <w:szCs w:val="21"/>
        </w:rPr>
        <w:t xml:space="preserve">damage </w:t>
      </w:r>
      <w:r w:rsidR="007951C7">
        <w:rPr>
          <w:rFonts w:ascii="Times New Roman" w:hAnsi="Times New Roman" w:cs="Times New Roman"/>
          <w:kern w:val="0"/>
          <w:szCs w:val="21"/>
        </w:rPr>
        <w:fldChar w:fldCharType="begin" w:fldLock="1"/>
      </w:r>
      <w:r w:rsidR="007951C7">
        <w:rPr>
          <w:rFonts w:ascii="Times New Roman" w:hAnsi="Times New Roman" w:cs="Times New Roman"/>
          <w:kern w:val="0"/>
          <w:szCs w:val="21"/>
        </w:rPr>
        <w:instrText>ADDIN CSL_CITATION {"citationItems":[{"id":"ITEM-1","itemData":{"DOI":"10.1016/j.envint.2019.04.074","ISSN":"18736750","PMID":"31102950","abstract":"Phthalates (phthalic acid esters)have been widely applied as plasticizers. They are ubiquitous contaminants in soils, thereby posing a threat to human health. In this study, ecotoxicological effects of three typical PAEs (dimethyl phthalate-DMP, di-n-octyl phthalate-DOP and butyl benzyl phthalate-BBP)were investigated. As a biological indicator, earthworms (Eisenia fetida)were exposed to phthalates at various doses (0, 0.1, 1, 10 and 50 mg/kg)for different times (7, 14, 21, and 28 d). We evaluated the effects of phthalates on reactive oxygen species (ROS)generation, antioxidant enzymes (superoxide dismutase-SOD, peroxidase-POD and catalase-CAT)activities, glutathione S-transferase enzyme (GST)activity, malondialdehyde (MDA)content and DNA damage. Results showed that ROS content increased with increasing phthalates, whereas ROS content generally increased and then decreased with exposure time. However, antioxidant enzymes activities in earthworms displayed different trends. The GST activity in high-dose treatment group was significantly activated. For DMP and DOP, lipid peroxidation mainly occurred between 14 and 28 d, while for BBP, it primarily existed after 7 d and then disappeared after 28 d. Besides, comet assay indicated that there was a dose-response relationship between the DNA damage and phthalate dose, following DMP &gt; DOP &gt; BBP. Given their toxicity, it is important to understand the mechanisms associated with their eco-toxicity and to reduce their adverse impacts on the environment.","author":[{"dropping-particle":"","family":"Song","given":"Peipei","non-dropping-particle":"","parse-names":false,"suffix":""},{"dropping-particle":"","family":"Gao","given":"Jianpeng","non-dropping-particle":"","parse-names":false,"suffix":""},{"dropping-particle":"","family":"Li","given":"Xianxu","non-dropping-particle":"","parse-names":false,"suffix":""},{"dropping-particle":"","family":"Zhang","given":"Cui","non-dropping-particle":"","parse-names":false,"suffix":""},{"dropping-particle":"","family":"Zhu","given":"Lusheng","non-dropping-particle":"","parse-names":false,"suffix":""},{"dropping-particle":"","family":"Wang","given":"Jinhua","non-dropping-particle":"","parse-names":false,"suffix":""},{"dropping-particle":"","family":"Wang","given":"Jun","non-dropping-particle":"","parse-names":false,"suffix":""}],"container-title":"Environment International","id":"ITEM-1","issue":"March","issued":{"date-parts":[["2019"]]},"page":"10-17","publisher":"Elsevier","title":"Phthalate induced oxidative stress and DNA damage in earthworms (Eisenia fetida)","type":"article-journal","volume":"129"},"uris":["http://www.mendeley.com/documents/?uuid=13f08048-3101-4e56-a7de-94b8d1e27664"]},{"id":"ITEM-2","itemData":{"DOI":"10.1016/j.aquatox.2010.07.025","ISSN":"0166445X","PMID":"20739073","abstract":"Acid rain and inputs of acidic effluent can result in increased acidity in aquatic ecosystems, where it is known to have a significant impact and possibly, to cause the decline of some populations of aquatic organisms. In previous studies, intracellular acid-induced oxidative stress has been shown to cause DNA damage, and cooperatively activate the expression of the p53 gene. The acute effects of acidic environments on shrimp and fish have been widely studied. However, the molecular mechanism of acid-induced injury remains largely unknown. In this study, we examined the cellular responses of tilapia to acidic exposure-induced oxidative stress and antioxidant enzyme gene expression. Furthermore, we determined how acute acid stress activates the ATM-p53 signal pathway. We measured the upregulation of reactive oxygen species (ROS) production, the intracellular Ca2+ concentration ([Ca2+]i), the tail DNA values, the malondialdehyde (MDA) level in the blood cells and the percentage of dead and damaged blood cells. Our results suggest that oxidative stress and DNA damage occurred in tilapia in conditions where the pH was 5.3. Apoptosis was detected by Hoechst staining, which was mainly associated with changes in cell viability. The parameters that we measured were related to acid-induced DNA damage, and all parameters changed in the blood cells through time. The effects of acute acid exposure (pH 5.3) on the expression of ATM, p53, p21, Bax, manganese superoxide dismutase (MnSOD), glutathione peroxidase (GPx) were investigated in tilapia blood cells. The results showed that acute acid stress induced upregulation of ATM, p53 and p21, associated with increasing of DNA damage and apoptosis in blood cells. Additionally, the expression of Bax was slightly increased. Moreover, consensus p53-binding sequences were identified in tilapia MnSOD and GPx gene promoter regions and increased levels of ROS in the blood cells coincided with increased mRNA expression of p53, MnSOD and GPx. Therefore, it suggests that acid exposure-induced oxidative stress may cause DNA damage or apoptosis, and cooperatively activate ATM-p53 pathway, which may lead to the activation of p21 and regulate transcription of MnSOD and GPx. © 2010 Elsevier B.V.","author":[{"dropping-particle":"","family":"Mai","given":"Wei Jun","non-dropping-particle":"","parse-names":false,"suffix":""},{"dropping-particle":"","family":"Yan","given":"Jun Lun","non-dropping-particle":"","parse-names":false,"suffix":""},{"dropping-particle":"","family":"Wang","given":"Lei","non-dropping-particle":"","parse-names":false,"suffix":""},{"dropping-particle":"","family":"Zheng","given":"Ying","non-dropping-particle":"","parse-names":false,"suffix":""},{"dropping-particle":"","family":"Xin","given":"Yu","non-dropping-particle":"","parse-names":false,"suffix":""},{"dropping-particle":"","family":"Wang","given":"Wei Na","non-dropping-particle":"","parse-names":false,"suffix":""}],"container-title":"Aquatic Toxicology","id":"ITEM-2","issue":"3","issued":{"date-parts":[["2010"]]},"page":"271-281","publisher":"Elsevier B.V.","title":"Acute acidic exposure induces p53-mediated oxidative stress and DNA damage in tilapia (Oreochromis niloticus) blood cells","type":"article-journal","volume":"100"},"uris":["http://www.mendeley.com/documents/?uuid=75362b13-5684-486c-a66b-2508aa0863c6"]},{"id":"ITEM-3","itemData":{"DOI":"10.1016/j.chemosphere.2012.09.039","ISSN":"18791298","PMID":"23121984","abstract":"Several environmental pollutants, including metals can induce toxicological effect on aquatic animal species. Most studies to understand the toxicity of arsenic compounds were performed in mammalian cells; however, the study of the arsenic toxicity to the aquatic animals' species, including fish, is limited. So the objective of this study was first to investigate the effects of As2O3 induced toxicity particularly on apoptosis and necrosis mediated cell death in fish cell PLHC-1 as compared to the mechanism of toxicity from known mammalian cell lines, secondly to relate in vitro effects in fish to those demonstrated by in vivo systems. To conduct this study, PLHC-1 cells were exposed to various concentrations of As2O3 (0-100μM) for 10, 20 and 40h. The results indicate that As2O3 exposure promoted apoptotic and necrotic mediated cell death in a concentration and time dependent manner. Cell death (apoptotic and necrotic) induced by As2O3 was further confirmed by changes in various phases of cell cycle, DNA fragmentation (necro- comet and apo-comet) in the comet assay, alteration in mitochondrial membrane potential and formation of increased reactive oxygen species (ROS). Apoptotic mediated cell death was confirmed further by observing the increased caspase-3 activity and elevated expression of p53, cytochrome c and Bax proteins levels in the same experimental conditions. PLHC-1 cells were shown to be a good model for evaluating biochemical/cytotoxic effects following exposure to various reference chemicals and environmental contaminants. In vitro data obtained from this study provides a comprehensive approach for the elucidating the actual molecular mechanism for As2O3 induced toxicity particularly apoptosis and necrosis mediated cell death in PLHC-1 cell line. © 2012 Elsevier Ltd.","author":[{"dropping-particle":"","family":"Selvaraj","given":"Vellaisamy","non-dropping-particle":"","parse-names":false,"suffix":""},{"dropping-particle":"","family":"Armistead","given":"Mindy Yeager","non-dropping-particle":"","parse-names":false,"suffix":""},{"dropping-particle":"","family":"Cohenford","given":"Menashi","non-dropping-particle":"","parse-names":false,"suffix":""},{"dropping-particle":"","family":"Murray","given":"Elizabeth","non-dropping-particle":"","parse-names":false,"suffix":""}],"container-title":"Chemosphere","id":"ITEM-3","issue":"3","issued":{"date-parts":[["2013"]]},"page":"1201-1209","publisher":"Elsevier Ltd","title":"Arsenic trioxide (As2O3) induces apoptosis and necrosis mediated cell death through mitochondrial membrane potential damage and elevated production of reactive oxygen species in PLHC-1 fish cell line","type":"article-journal","volume":"90"},"uris":["http://www.mendeley.com/documents/?uuid=fde075bb-15e4-471a-939a-9b934907ced4"]},{"id":"ITEM-4","itemData":{"DOI":"10.1016/j.scitotenv.2020.137069","ISSN":"18791026","PMID":"32041080","abstract":"Strobilurin fungicides (SFs), the most commonly used fungicides, pose threats for controlling fungal diseases. The fungicides were monitored in aquatic ecosystems and may have negative effects on nontarget organisms. This project was undertaken to monitor the toxic effects of fluoxastrobin (FLUO) on Danio rerio embryos and to evaluate the SF risks in aquatic ecosystems. The 96-hour median lethal concentration (96 h LC50), hatching rates, and morphological abnormalities were used to analyze acute toxicity and teratogenicity of FLUO to Danio rerio embryos at an FLUO dose of 0.549 mg/L (95% confidence limits: 0.423 to 0.698 mg/L); the results showed that FLUO has high toxicity in embryos that is analogous to the toxicity observed in adult Danio rerio. Fluoxastrobin may lead embryos to delayed hatching at concentrations &gt;0.6 mg/L, and it may lead to teratogenicity (i.e., pericardial edema and spinal curvature). Based on the 96 h LC50 results, the following parameters were evaluated in Danio rerio: development-related indicators (body length and heart rates), reactive oxygen species (ROS) levels, lipid peroxidation (LPO) levels, the levels of three antioxidants, 8-hydroxy-2-deoxyguanosine (8-OHdG), and apoptosis. The results elucidated that FLUO inhibition of spinal and heart development may be induced by oxidative stress. In addition, FLUO induced a notable climb in ROS content, LPO, the activated activity of superoxide dismutase (SOD) and catalase (CAT), and it inhibited glutathione peroxidase (GSH-PX) activity. Fluoxastrobin led to DNA damage (i.e., a notable climb of 8-OHdG contents and apoptotic cells). Collectively, FLUO posed threats to Danio rerio embryos at multiple levels, and this investigation could be a reminder for people to be more judicious in SF-use to avoid or relieve SF toxicity to nontarget organisms.","author":[{"dropping-particle":"","family":"Zhang","given":"Cheng","non-dropping-particle":"","parse-names":false,"suffix":""},{"dropping-particle":"","family":"Zhang","given":"Jingwen","non-dropping-particle":"","parse-names":false,"suffix":""},{"dropping-particle":"","family":"Zhu","given":"Lusheng","non-dropping-particle":"","parse-names":false,"suffix":""},{"dropping-particle":"","family":"Du","given":"Zhongkun","non-dropping-particle":"","parse-names":false,"suffix":""},{"dropping-particle":"","family":"Wang","given":"Jun","non-dropping-particle":"","parse-names":false,"suffix":""},{"dropping-particle":"","family":"Wang","given":"Jinhua","non-dropping-particle":"","parse-names":false,"suffix":""},{"dropping-particle":"","family":"Li","given":"Bing","non-dropping-particle":"","parse-names":false,"suffix":""},{"dropping-particle":"","family":"Yang","given":"Yue","non-dropping-particle":"","parse-names":false,"suffix":""}],"container-title":"Science of the Total Environment","id":"ITEM-4","issued":{"date-parts":[["2020"]]},"page":"137069","publisher":"Elsevier B.V.","title":"Fluoxastrobin-induced effects on acute toxicity, development toxicity, oxidative stress, and DNA damage in Danio rerio embryos","type":"article-journal","volume":"715"},"uris":["http://www.mendeley.com/documents/?uuid=26c518b7-3c57-46b9-bc97-791360acf325"]},{"id":"ITEM-5","itemData":{"DOI":"10.1007/s11356-016-6236-x","ISSN":"16147499","PMID":"26867686","abstract":"Cyhalofop-butyl is an aryloxyphenoxypropionate post-emergence herbicide widely used around the world in agriculture. The acute toxicity of cyhalofop-butyl to embryos, larvae (12 and 72 h post-hatching), and adult zebrafish, as well as the short-term developmental toxicity of cyhalofop-butyl to embryo and sac-fry stages, was tested. The results showed that the 96-h LC50 values of cyhalofop-butyl to embryos, 12 h post-hatching larvae, 72 h post-hatching larvae, and adult fish were 2.03, 0.58, 1.42, and 3.49 mg/L, respectively, suggesting zebrafish early life stages were more sensitive to cyhalofop-butyl than adult stage. Cyhalofop-butyl would inhibit the spontaneous movement, heartbeat, hatching rate of embryos, and the body length of surviving larvae of zebrafish at 1.00 mg/L or higher concentrations. Morphological abnormalities, including pericardial edema, yolk sac edema, deformation of tail, and deformation of spine, were induced by cyhalofop-butyl. The results indicated that cyhalofop-butyl had significant negative impacts on zebrafish at different life stages, and spontaneous movement and hatching rate were sensitive endpoints for assessing short-term developmental toxicity of cyhalofop-butyl.","author":[{"dropping-particle":"","family":"Cao","given":"Fangjie","non-dropping-particle":"","parse-names":false,"suffix":""},{"dropping-particle":"","family":"Liu","given":"Xiaoshan","non-dropping-particle":"","parse-names":false,"suffix":""},{"dropping-particle":"","family":"Wang","given":"Chengju","non-dropping-particle":"","parse-names":false,"suffix":""},{"dropping-particle":"","family":"Zheng","given":"Mingqi","non-dropping-particle":"","parse-names":false,"suffix":""},{"dropping-particle":"","family":"Li","given":"Xuefeng","non-dropping-particle":"","parse-names":false,"suffix":""},{"dropping-particle":"","family":"Qiu","given":"Lihong","non-dropping-particle":"","parse-names":false,"suffix":""}],"container-title":"Environmental Science and Pollution Research","id":"ITEM-5","issue":"10","issued":{"date-parts":[["2016"]]},"page":"10080-10089","title":"Acute and short-term developmental toxicity of cyhalofop-butyl to zebrafish (Danio rerio)","type":"article-journal","volume":"23"},"uris":["http://www.mendeley.com/documents/?uuid=4e1179c2-b13f-4bf3-9dce-dcb0d223b904"]}],"mendeley":{"formattedCitation":"(Cao et al., 2016; Mai et al., 2010; Selvaraj et al., 2013; Song et al., 2019; C. Zhang et al., 2020)","plainTextFormattedCitation":"(Cao et al., 2016; Mai et al., 2010; Selvaraj et al., 2013; Song et al., 2019; C. Zhang et al., 2020)","previouslyFormattedCitation":"(Cao et al., 2016; Mai et al., 2010; Selvaraj et al., 2013; Song et al., 2019; C. Zhang et al., 2020)"},"properties":{"noteIndex":0},"schema":"https://github.com/citation-style-language/schema/raw/master/csl-citation.json"}</w:instrText>
      </w:r>
      <w:r w:rsidR="007951C7">
        <w:rPr>
          <w:rFonts w:ascii="Times New Roman" w:hAnsi="Times New Roman" w:cs="Times New Roman"/>
          <w:kern w:val="0"/>
          <w:szCs w:val="21"/>
        </w:rPr>
        <w:fldChar w:fldCharType="separate"/>
      </w:r>
      <w:r w:rsidR="007951C7" w:rsidRPr="007951C7">
        <w:rPr>
          <w:rFonts w:ascii="Times New Roman" w:hAnsi="Times New Roman" w:cs="Times New Roman"/>
          <w:noProof/>
          <w:kern w:val="0"/>
          <w:szCs w:val="21"/>
        </w:rPr>
        <w:t>(Cao et al., 2016; Mai et al., 2010; Selvaraj et al., 2013; Song et al., 2019; C. Zhang et al., 2020)</w:t>
      </w:r>
      <w:r w:rsidR="007951C7">
        <w:rPr>
          <w:rFonts w:ascii="Times New Roman" w:hAnsi="Times New Roman" w:cs="Times New Roman"/>
          <w:kern w:val="0"/>
          <w:szCs w:val="21"/>
        </w:rPr>
        <w:fldChar w:fldCharType="end"/>
      </w:r>
      <w:r w:rsidR="00DB583F" w:rsidRPr="0083523B">
        <w:rPr>
          <w:rFonts w:ascii="Times New Roman" w:hAnsi="Times New Roman" w:cs="Times New Roman"/>
          <w:kern w:val="0"/>
          <w:szCs w:val="21"/>
        </w:rPr>
        <w:t xml:space="preserve">. </w:t>
      </w:r>
      <w:r w:rsidR="003578AE" w:rsidRPr="003578AE">
        <w:rPr>
          <w:rFonts w:ascii="Times New Roman" w:hAnsi="Times New Roman" w:cs="Times New Roman"/>
          <w:kern w:val="0"/>
          <w:szCs w:val="21"/>
        </w:rPr>
        <w:t>The 8-OHdG, as a biomarker of DNA oxidative damage, showing a significant increase similarly as ROS that observed in a variety of fish cells exposed to pollutants, which is also consistent with our results.</w:t>
      </w:r>
      <w:r w:rsidR="003578AE">
        <w:rPr>
          <w:rFonts w:ascii="Times New Roman" w:hAnsi="Times New Roman" w:cs="Times New Roman"/>
          <w:kern w:val="0"/>
          <w:szCs w:val="21"/>
        </w:rPr>
        <w:t xml:space="preserve"> </w:t>
      </w:r>
      <w:r w:rsidR="00651460">
        <w:rPr>
          <w:rFonts w:ascii="Times New Roman" w:hAnsi="Times New Roman" w:cs="Times New Roman"/>
          <w:kern w:val="0"/>
          <w:szCs w:val="21"/>
        </w:rPr>
        <w:t>T</w:t>
      </w:r>
      <w:r>
        <w:rPr>
          <w:rFonts w:ascii="Times New Roman" w:hAnsi="Times New Roman" w:cs="Times New Roman"/>
          <w:kern w:val="0"/>
          <w:szCs w:val="21"/>
        </w:rPr>
        <w:t>h</w:t>
      </w:r>
      <w:r w:rsidR="0022031C">
        <w:rPr>
          <w:rFonts w:ascii="Times New Roman" w:hAnsi="Times New Roman" w:cs="Times New Roman"/>
          <w:kern w:val="0"/>
          <w:szCs w:val="21"/>
        </w:rPr>
        <w:t>o</w:t>
      </w:r>
      <w:r>
        <w:rPr>
          <w:rFonts w:ascii="Times New Roman" w:hAnsi="Times New Roman" w:cs="Times New Roman"/>
          <w:kern w:val="0"/>
          <w:szCs w:val="21"/>
        </w:rPr>
        <w:t xml:space="preserve">se results </w:t>
      </w:r>
      <w:r w:rsidR="0022031C" w:rsidRPr="0083523B">
        <w:rPr>
          <w:rFonts w:ascii="Times New Roman" w:hAnsi="Times New Roman" w:cs="Times New Roman"/>
          <w:kern w:val="0"/>
          <w:szCs w:val="21"/>
        </w:rPr>
        <w:t>speculated</w:t>
      </w:r>
      <w:r>
        <w:rPr>
          <w:rFonts w:ascii="Times New Roman" w:hAnsi="Times New Roman" w:cs="Times New Roman"/>
          <w:kern w:val="0"/>
          <w:szCs w:val="21"/>
        </w:rPr>
        <w:t xml:space="preserve"> that pollutants may induce endogenous or exogenous ROS to attack protein</w:t>
      </w:r>
      <w:r>
        <w:rPr>
          <w:rFonts w:ascii="Times New Roman" w:eastAsia="宋体" w:hAnsi="Times New Roman" w:cs="Times New Roman"/>
          <w:kern w:val="0"/>
          <w:szCs w:val="21"/>
        </w:rPr>
        <w:t xml:space="preserve">s and nucleic acids in living cells, leading to </w:t>
      </w:r>
      <w:r>
        <w:rPr>
          <w:rFonts w:ascii="Times New Roman" w:hAnsi="Times New Roman" w:cs="Times New Roman"/>
          <w:kern w:val="0"/>
          <w:szCs w:val="21"/>
        </w:rPr>
        <w:t>oxidative</w:t>
      </w:r>
      <w:r>
        <w:rPr>
          <w:rFonts w:ascii="Times New Roman" w:eastAsia="宋体" w:hAnsi="Times New Roman" w:cs="Times New Roman"/>
          <w:kern w:val="0"/>
          <w:szCs w:val="21"/>
        </w:rPr>
        <w:t xml:space="preserve"> DNA damage.</w:t>
      </w:r>
      <w:r>
        <w:rPr>
          <w:rFonts w:ascii="Times New Roman" w:hAnsi="Times New Roman" w:cs="Times New Roman"/>
          <w:kern w:val="0"/>
          <w:szCs w:val="21"/>
        </w:rPr>
        <w:t xml:space="preserve"> </w:t>
      </w:r>
      <w:r w:rsidR="008D3253">
        <w:rPr>
          <w:rFonts w:ascii="Times New Roman" w:hAnsi="Times New Roman" w:cs="Times New Roman"/>
          <w:kern w:val="0"/>
          <w:szCs w:val="21"/>
        </w:rPr>
        <w:t xml:space="preserve">In addition, </w:t>
      </w:r>
      <w:r>
        <w:rPr>
          <w:rFonts w:ascii="Times New Roman" w:hAnsi="Times New Roman" w:cs="Times New Roman"/>
          <w:kern w:val="0"/>
          <w:szCs w:val="21"/>
        </w:rPr>
        <w:t>PPARα is a sensor of lipid synthesis and is considered to be a key factor in liver and lipid metabolism</w:t>
      </w:r>
      <w:r w:rsidR="009C4593">
        <w:rPr>
          <w:rFonts w:ascii="Times New Roman" w:hAnsi="Times New Roman" w:cs="Times New Roman"/>
          <w:kern w:val="0"/>
          <w:szCs w:val="21"/>
        </w:rPr>
        <w:t xml:space="preserve"> </w:t>
      </w:r>
      <w:r w:rsidR="007951C7">
        <w:rPr>
          <w:rFonts w:ascii="Times New Roman" w:hAnsi="Times New Roman" w:cs="Times New Roman"/>
          <w:kern w:val="0"/>
          <w:szCs w:val="21"/>
          <w:vertAlign w:val="superscript"/>
        </w:rPr>
        <w:fldChar w:fldCharType="begin" w:fldLock="1"/>
      </w:r>
      <w:r w:rsidR="007951C7">
        <w:rPr>
          <w:rFonts w:ascii="Times New Roman" w:hAnsi="Times New Roman" w:cs="Times New Roman"/>
          <w:kern w:val="0"/>
          <w:szCs w:val="21"/>
          <w:vertAlign w:val="superscript"/>
        </w:rPr>
        <w:instrText>ADDIN CSL_CITATION {"citationItems":[{"id":"ITEM-1","itemData":{"DOI":"10.1016/j.pharmthera.2017.05.011","ISSN":"1879016X","PMID":"28546081","abstract":"Ligand-activated nuclear receptors, including peroxisome proliferator-activated receptor alpha (PPARα), pregnane X receptor, and constitutive androstane receptor, were first identified as key regulators of the responses against chemical toxicants. However, numerous studies using mouse disease models and human samples have revealed critical roles for these receptors and others, such as PPARβ/δ PPARγ farnesoid X receptor (FXR), and liver X receptor (LXR), in maintaining nutrient/energy homeostasis in part through modulation of the gut-liver-adipose axis. Recently, disorders associated with disrupted nutrient/energy homeostasis, e.g., obesity, metabolic syndrome, and non-alcoholic fatty liver disease (NAFLD), are increasing worldwide. Notably, in NAFLD, a progressive subtype exists, designated as non-alcoholic steatohepatitis (NASH) that is characterized by typical histological features resembling alcoholic steatohepatitis (ASH), and NASH/ASH are recognized as major causes of hepatitis virus-unrelated liver cirrhosis and hepatocellular carcinoma. Since hepatic steatosis is basically caused by an imbalance between fat/energy influx and utilization, abnormal signaling of these nuclear receptors contribute to the pathogenesis of fatty liver disease. Standard therapeutic interventions have not been fully established for fatty liver disease, but some new agents that activate or inhibit nuclear receptor signaling have shown promise as possible therapeutic targets. In this review, we summarize recent findings on the roles of nuclear receptors in fatty liver disease and discuss future perspectives to develop promising pharmacological strategies targeting nuclear receptors for NAFLD/NASH.","author":[{"dropping-particle":"","family":"Tanaka","given":"Naoki","non-dropping-particle":"","parse-names":false,"suffix":""},{"dropping-particle":"","family":"Aoyama","given":"Toshifumi","non-dropping-particle":"","parse-names":false,"suffix":""},{"dropping-particle":"","family":"Kimura","given":"Shioko","non-dropping-particle":"","parse-names":false,"suffix":""},{"dropping-particle":"","family":"Gonzalez","given":"Frank J.","non-dropping-particle":"","parse-names":false,"suffix":""}],"container-title":"Pharmacology and Therapeutics","id":"ITEM-1","issued":{"date-parts":[["2017"]]},"page":"142-157","publisher":"Elsevier Inc.","title":"Targeting nuclear receptors for the treatment of fatty liver disease","type":"article-journal","volume":"179"},"uris":["http://www.mendeley.com/documents/?uuid=a5295d23-5491-4237-9f52-f1b7930f9293"]},{"id":"ITEM-2","itemData":{"author":[{"dropping-particle":"","family":"Franklin","given":"Mallory P</w:instrText>
      </w:r>
      <w:r w:rsidR="007951C7">
        <w:rPr>
          <w:rFonts w:ascii="Times New Roman" w:hAnsi="Times New Roman" w:cs="Times New Roman" w:hint="eastAsia"/>
          <w:kern w:val="0"/>
          <w:szCs w:val="21"/>
          <w:vertAlign w:val="superscript"/>
        </w:rPr>
        <w:instrText>.","non-dropping-particle":"","parse-names":false,"suffix":""},{"dropping-particle":"","family":"Sathyanarayan","given":"Aishwarya","non-dropping-particle":"","parse-names":false,"suffix":""},{"dropping-particle":"","family":"G.","given":"Mashek</w:instrText>
      </w:r>
      <w:r w:rsidR="007951C7">
        <w:rPr>
          <w:rFonts w:ascii="Times New Roman" w:hAnsi="Times New Roman" w:cs="Times New Roman" w:hint="eastAsia"/>
          <w:kern w:val="0"/>
          <w:szCs w:val="21"/>
          <w:vertAlign w:val="superscript"/>
        </w:rPr>
        <w:instrText>，</w:instrText>
      </w:r>
      <w:r w:rsidR="007951C7">
        <w:rPr>
          <w:rFonts w:ascii="Times New Roman" w:hAnsi="Times New Roman" w:cs="Times New Roman" w:hint="eastAsia"/>
          <w:kern w:val="0"/>
          <w:szCs w:val="21"/>
          <w:vertAlign w:val="superscript"/>
        </w:rPr>
        <w:instrText>Douglas",</w:instrText>
      </w:r>
      <w:r w:rsidR="007951C7">
        <w:rPr>
          <w:rFonts w:ascii="Times New Roman" w:hAnsi="Times New Roman" w:cs="Times New Roman"/>
          <w:kern w:val="0"/>
          <w:szCs w:val="21"/>
          <w:vertAlign w:val="superscript"/>
        </w:rPr>
        <w:instrText>"non-dropping-particle":"","parse-names":false,"suffix":""}],"container-title":"Diabetes","id":"ITEM-2","issue":"8","issued":{"date-parts":[["2017"]]},"page":"1-44","title":"Acyl-CoA Thioesterase 1 (ACOT1) Regulates PPARa to Couple Fatty Acid Flux with Oxidative Capacity During Fasting","type":"article-journal","volume":"66"},"uris":["http://www.mendeley.com/documents/?uuid=c2b9a710-0c0e-405b-89b1-6a6a92573915"]}],"mendeley":{"formattedCitation":"(Franklin et al., 2017; Tanaka et al., 2017)","plainTextFormattedCitation":"(Franklin et al., 2017; Tanaka et al., 2017)","previouslyFormattedCitation":"(Franklin et al., 2017; Tanaka et al., 2017)"},"properties":{"noteIndex":0},"schema":"https://github.com/citation-style-language/schema/raw/master/csl-citation.json"}</w:instrText>
      </w:r>
      <w:r w:rsidR="007951C7">
        <w:rPr>
          <w:rFonts w:ascii="Times New Roman" w:hAnsi="Times New Roman" w:cs="Times New Roman"/>
          <w:kern w:val="0"/>
          <w:szCs w:val="21"/>
          <w:vertAlign w:val="superscript"/>
        </w:rPr>
        <w:fldChar w:fldCharType="separate"/>
      </w:r>
      <w:r w:rsidR="007951C7" w:rsidRPr="007951C7">
        <w:rPr>
          <w:rFonts w:ascii="Times New Roman" w:hAnsi="Times New Roman" w:cs="Times New Roman"/>
          <w:noProof/>
          <w:kern w:val="0"/>
          <w:szCs w:val="21"/>
        </w:rPr>
        <w:t>(Franklin et al., 2017; Tanaka et al., 2017)</w:t>
      </w:r>
      <w:r w:rsidR="007951C7">
        <w:rPr>
          <w:rFonts w:ascii="Times New Roman" w:hAnsi="Times New Roman" w:cs="Times New Roman"/>
          <w:kern w:val="0"/>
          <w:szCs w:val="21"/>
          <w:vertAlign w:val="superscript"/>
        </w:rPr>
        <w:fldChar w:fldCharType="end"/>
      </w:r>
      <w:r>
        <w:rPr>
          <w:rFonts w:ascii="Times New Roman" w:hAnsi="Times New Roman" w:cs="Times New Roman"/>
          <w:kern w:val="0"/>
          <w:szCs w:val="21"/>
        </w:rPr>
        <w:t xml:space="preserve">. The excessive accumulation of ROS </w:t>
      </w:r>
      <w:r w:rsidR="00E327C1">
        <w:rPr>
          <w:rFonts w:ascii="Times New Roman" w:hAnsi="Times New Roman" w:cs="Times New Roman" w:hint="eastAsia"/>
          <w:kern w:val="0"/>
          <w:szCs w:val="21"/>
        </w:rPr>
        <w:t>can</w:t>
      </w:r>
      <w:r>
        <w:rPr>
          <w:rFonts w:ascii="Times New Roman" w:hAnsi="Times New Roman" w:cs="Times New Roman"/>
          <w:kern w:val="0"/>
          <w:szCs w:val="21"/>
        </w:rPr>
        <w:t xml:space="preserve"> destroy the structural stability of cell membrane</w:t>
      </w:r>
      <w:r>
        <w:rPr>
          <w:rFonts w:ascii="Times New Roman" w:eastAsia="宋体" w:hAnsi="Times New Roman" w:cs="Times New Roman"/>
          <w:kern w:val="0"/>
          <w:szCs w:val="21"/>
        </w:rPr>
        <w:t>s and form the lipid peroxide MDA</w:t>
      </w:r>
      <w:r w:rsidR="009C4593">
        <w:rPr>
          <w:rFonts w:ascii="Times New Roman" w:eastAsia="宋体" w:hAnsi="Times New Roman" w:cs="Times New Roman"/>
          <w:kern w:val="0"/>
          <w:szCs w:val="21"/>
        </w:rPr>
        <w:t xml:space="preserve"> </w:t>
      </w:r>
      <w:r w:rsidR="007951C7">
        <w:rPr>
          <w:rFonts w:ascii="Times New Roman" w:eastAsia="宋体" w:hAnsi="Times New Roman" w:cs="Times New Roman"/>
          <w:kern w:val="0"/>
          <w:szCs w:val="21"/>
          <w:vertAlign w:val="superscript"/>
        </w:rPr>
        <w:fldChar w:fldCharType="begin" w:fldLock="1"/>
      </w:r>
      <w:r w:rsidR="007951C7">
        <w:rPr>
          <w:rFonts w:ascii="Times New Roman" w:eastAsia="宋体" w:hAnsi="Times New Roman" w:cs="Times New Roman"/>
          <w:kern w:val="0"/>
          <w:szCs w:val="21"/>
          <w:vertAlign w:val="superscript"/>
        </w:rPr>
        <w:instrText>ADDIN CSL_CITATION {"citationItems":[{"id":"ITEM-1","itemData":{"author":[{"dropping-particle":"","family":"Du","given":"Jie","non-dropping-particle":"","parse-names":false,"suffix":""},{"dropping-particle":"","family":"Zhao","given":"Meirong","non-dropping-particle":"","parse-names":false,"suffix":""},{"dropping-particle":"","family":"Li","given":"Jing","non-dropping-particle":"","parse-names":false,"suffix":""}],"container-title":"International Journal of Geology, Agriculture and Environmental Sciences","id":"ITEM-1","issue":"October","issued":{"date-parts":[["2015"]]},"page":"21-28","title":"Determination of water quality criteria for three synthetic pyrethroids for the protection of aquatic life","type":"article-journal","volume":"3"},"uris":["http://www.mendeley.com/documents/?uuid=24d5402a-6b63-41ac-843a-78b02e13c4ba"]}],"mendeley":{"formattedCitation":"(Du et al., 2015)","plainTextFormattedCitation":"(Du et al., 2015)","previouslyFormattedCitation":"(Du et al., 2015)"},"properties":{"noteIndex":0},"schema":"https://github.com/citation-style-language/schema/raw/master/csl-citation.json"}</w:instrText>
      </w:r>
      <w:r w:rsidR="007951C7">
        <w:rPr>
          <w:rFonts w:ascii="Times New Roman" w:eastAsia="宋体" w:hAnsi="Times New Roman" w:cs="Times New Roman"/>
          <w:kern w:val="0"/>
          <w:szCs w:val="21"/>
          <w:vertAlign w:val="superscript"/>
        </w:rPr>
        <w:fldChar w:fldCharType="separate"/>
      </w:r>
      <w:r w:rsidR="007951C7" w:rsidRPr="007951C7">
        <w:rPr>
          <w:rFonts w:ascii="Times New Roman" w:eastAsia="宋体" w:hAnsi="Times New Roman" w:cs="Times New Roman"/>
          <w:noProof/>
          <w:kern w:val="0"/>
          <w:szCs w:val="21"/>
        </w:rPr>
        <w:t>(Du et al., 2015)</w:t>
      </w:r>
      <w:r w:rsidR="007951C7">
        <w:rPr>
          <w:rFonts w:ascii="Times New Roman" w:eastAsia="宋体" w:hAnsi="Times New Roman" w:cs="Times New Roman"/>
          <w:kern w:val="0"/>
          <w:szCs w:val="21"/>
          <w:vertAlign w:val="superscript"/>
        </w:rPr>
        <w:fldChar w:fldCharType="end"/>
      </w:r>
      <w:r>
        <w:rPr>
          <w:rFonts w:ascii="Times New Roman" w:eastAsia="宋体" w:hAnsi="Times New Roman" w:cs="Times New Roman"/>
          <w:kern w:val="0"/>
          <w:szCs w:val="21"/>
        </w:rPr>
        <w:t xml:space="preserve">. </w:t>
      </w:r>
      <w:r>
        <w:rPr>
          <w:rFonts w:ascii="Times New Roman" w:hAnsi="Times New Roman" w:cs="Times New Roman"/>
          <w:kern w:val="0"/>
          <w:szCs w:val="21"/>
        </w:rPr>
        <w:t xml:space="preserve">Similar results were observed </w:t>
      </w:r>
      <w:r w:rsidR="00117CCA">
        <w:rPr>
          <w:rFonts w:ascii="Times New Roman" w:hAnsi="Times New Roman" w:cs="Times New Roman"/>
          <w:kern w:val="0"/>
          <w:szCs w:val="21"/>
        </w:rPr>
        <w:t>in the</w:t>
      </w:r>
      <w:r>
        <w:rPr>
          <w:rFonts w:ascii="Times New Roman" w:hAnsi="Times New Roman" w:cs="Times New Roman"/>
          <w:kern w:val="0"/>
          <w:szCs w:val="21"/>
        </w:rPr>
        <w:t xml:space="preserve"> </w:t>
      </w:r>
      <w:r w:rsidR="00117CCA">
        <w:rPr>
          <w:rFonts w:ascii="Times New Roman" w:hAnsi="Times New Roman" w:cs="Times New Roman"/>
          <w:kern w:val="0"/>
          <w:szCs w:val="21"/>
        </w:rPr>
        <w:t xml:space="preserve">present </w:t>
      </w:r>
      <w:r>
        <w:rPr>
          <w:rFonts w:ascii="Times New Roman" w:hAnsi="Times New Roman" w:cs="Times New Roman"/>
          <w:kern w:val="0"/>
          <w:szCs w:val="21"/>
        </w:rPr>
        <w:t>study</w:t>
      </w:r>
      <w:r w:rsidR="00117CCA">
        <w:rPr>
          <w:rFonts w:ascii="Times New Roman" w:hAnsi="Times New Roman" w:cs="Times New Roman"/>
          <w:kern w:val="0"/>
          <w:szCs w:val="21"/>
        </w:rPr>
        <w:t>,</w:t>
      </w:r>
      <w:r>
        <w:rPr>
          <w:rFonts w:ascii="Times New Roman" w:hAnsi="Times New Roman" w:cs="Times New Roman"/>
          <w:kern w:val="0"/>
          <w:szCs w:val="21"/>
        </w:rPr>
        <w:t xml:space="preserve"> </w:t>
      </w:r>
      <w:r w:rsidR="007D1570">
        <w:rPr>
          <w:rFonts w:ascii="Times New Roman" w:hAnsi="Times New Roman" w:cs="Times New Roman"/>
          <w:kern w:val="0"/>
          <w:szCs w:val="21"/>
        </w:rPr>
        <w:t xml:space="preserve">ROS </w:t>
      </w:r>
      <w:r>
        <w:rPr>
          <w:rFonts w:ascii="Times New Roman" w:hAnsi="Times New Roman" w:cs="Times New Roman"/>
          <w:kern w:val="0"/>
          <w:szCs w:val="21"/>
        </w:rPr>
        <w:t>level</w:t>
      </w:r>
      <w:r>
        <w:rPr>
          <w:rFonts w:ascii="Times New Roman" w:eastAsia="宋体" w:hAnsi="Times New Roman" w:cs="Times New Roman"/>
          <w:kern w:val="0"/>
          <w:szCs w:val="21"/>
        </w:rPr>
        <w:t xml:space="preserve">s of the </w:t>
      </w:r>
      <w:r>
        <w:rPr>
          <w:rFonts w:ascii="Times New Roman" w:hAnsi="Times New Roman" w:cs="Times New Roman"/>
          <w:kern w:val="0"/>
          <w:szCs w:val="21"/>
        </w:rPr>
        <w:t>CGS larvae increased</w:t>
      </w:r>
      <w:r w:rsidR="007D1570">
        <w:rPr>
          <w:rFonts w:ascii="Times New Roman" w:hAnsi="Times New Roman" w:cs="Times New Roman"/>
          <w:kern w:val="0"/>
          <w:szCs w:val="21"/>
        </w:rPr>
        <w:t xml:space="preserve"> with BF increasing, and the MDA</w:t>
      </w:r>
      <w:r>
        <w:rPr>
          <w:rFonts w:ascii="Times New Roman" w:hAnsi="Times New Roman" w:cs="Times New Roman"/>
          <w:kern w:val="0"/>
          <w:szCs w:val="21"/>
        </w:rPr>
        <w:t xml:space="preserve"> </w:t>
      </w:r>
      <w:r w:rsidR="007D1570">
        <w:rPr>
          <w:rFonts w:ascii="Times New Roman" w:hAnsi="Times New Roman" w:cs="Times New Roman"/>
          <w:kern w:val="0"/>
          <w:szCs w:val="21"/>
        </w:rPr>
        <w:t>level</w:t>
      </w:r>
      <w:r>
        <w:rPr>
          <w:rFonts w:ascii="Times New Roman" w:hAnsi="Times New Roman" w:cs="Times New Roman"/>
          <w:kern w:val="0"/>
          <w:szCs w:val="21"/>
        </w:rPr>
        <w:t xml:space="preserve"> </w:t>
      </w:r>
      <w:r w:rsidR="00117CCA">
        <w:rPr>
          <w:rFonts w:ascii="Times New Roman" w:hAnsi="Times New Roman" w:cs="Times New Roman"/>
          <w:kern w:val="0"/>
          <w:szCs w:val="21"/>
        </w:rPr>
        <w:t>increasing accordingly.</w:t>
      </w:r>
      <w:r w:rsidR="00AA3F8E">
        <w:rPr>
          <w:rFonts w:ascii="Times New Roman" w:hAnsi="Times New Roman" w:cs="Times New Roman"/>
          <w:kern w:val="0"/>
          <w:szCs w:val="21"/>
        </w:rPr>
        <w:t xml:space="preserve"> </w:t>
      </w:r>
      <w:r>
        <w:rPr>
          <w:rFonts w:ascii="Times New Roman" w:hAnsi="Times New Roman" w:cs="Times New Roman"/>
          <w:kern w:val="0"/>
          <w:szCs w:val="21"/>
        </w:rPr>
        <w:lastRenderedPageBreak/>
        <w:t>T</w:t>
      </w:r>
      <w:r>
        <w:rPr>
          <w:rFonts w:ascii="Times New Roman" w:eastAsia="宋体" w:hAnsi="Times New Roman" w:cs="Times New Roman"/>
          <w:kern w:val="0"/>
          <w:szCs w:val="21"/>
        </w:rPr>
        <w:t>ranscriptome analysis</w:t>
      </w:r>
      <w:r>
        <w:rPr>
          <w:rFonts w:ascii="Times New Roman" w:hAnsi="Times New Roman" w:cs="Times New Roman"/>
          <w:kern w:val="0"/>
          <w:szCs w:val="21"/>
        </w:rPr>
        <w:t xml:space="preserve"> </w:t>
      </w:r>
      <w:r>
        <w:rPr>
          <w:rFonts w:ascii="Times New Roman" w:hAnsi="Times New Roman" w:cs="Times New Roman" w:hint="eastAsia"/>
          <w:kern w:val="0"/>
          <w:szCs w:val="21"/>
        </w:rPr>
        <w:t>also</w:t>
      </w:r>
      <w:r>
        <w:rPr>
          <w:rFonts w:ascii="Times New Roman" w:hAnsi="Times New Roman" w:cs="Times New Roman"/>
          <w:kern w:val="0"/>
          <w:szCs w:val="21"/>
        </w:rPr>
        <w:t xml:space="preserve"> showed that </w:t>
      </w:r>
      <w:r>
        <w:rPr>
          <w:rFonts w:ascii="Times New Roman" w:eastAsia="宋体" w:hAnsi="Times New Roman" w:cs="Times New Roman"/>
          <w:kern w:val="0"/>
          <w:szCs w:val="21"/>
        </w:rPr>
        <w:t>increasing BF concentrations interfered with the lipid metabolism of CGS</w:t>
      </w:r>
      <w:r w:rsidR="007D1570">
        <w:rPr>
          <w:rFonts w:ascii="Times New Roman" w:eastAsia="宋体" w:hAnsi="Times New Roman" w:cs="Times New Roman"/>
          <w:kern w:val="0"/>
          <w:szCs w:val="21"/>
        </w:rPr>
        <w:t xml:space="preserve"> </w:t>
      </w:r>
      <w:r w:rsidR="007D1570">
        <w:rPr>
          <w:rFonts w:ascii="Times New Roman" w:eastAsia="宋体" w:hAnsi="Times New Roman" w:cs="Times New Roman" w:hint="eastAsia"/>
          <w:kern w:val="0"/>
          <w:szCs w:val="21"/>
        </w:rPr>
        <w:t>larvae</w:t>
      </w:r>
      <w:r>
        <w:rPr>
          <w:rFonts w:ascii="Times New Roman" w:hAnsi="Times New Roman" w:cs="Times New Roman"/>
          <w:kern w:val="0"/>
          <w:szCs w:val="21"/>
        </w:rPr>
        <w:t>. Many DEGs were significantly enriched in the PPAR signaling pathway and the fat digest</w:t>
      </w:r>
      <w:r>
        <w:rPr>
          <w:rFonts w:ascii="Times New Roman" w:eastAsia="宋体" w:hAnsi="Times New Roman" w:cs="Times New Roman"/>
          <w:kern w:val="0"/>
          <w:szCs w:val="21"/>
        </w:rPr>
        <w:t xml:space="preserve">ion and </w:t>
      </w:r>
      <w:r>
        <w:rPr>
          <w:rFonts w:ascii="Times New Roman" w:hAnsi="Times New Roman" w:cs="Times New Roman"/>
          <w:kern w:val="0"/>
          <w:szCs w:val="21"/>
        </w:rPr>
        <w:t>absorption pathways</w:t>
      </w:r>
      <w:r w:rsidR="009C4593">
        <w:rPr>
          <w:rFonts w:ascii="Times New Roman" w:hAnsi="Times New Roman" w:cs="Times New Roman"/>
          <w:kern w:val="0"/>
          <w:szCs w:val="21"/>
        </w:rPr>
        <w:t xml:space="preserve"> </w:t>
      </w:r>
      <w:r w:rsidR="007951C7">
        <w:rPr>
          <w:rFonts w:ascii="Times New Roman" w:hAnsi="Times New Roman" w:cs="Times New Roman"/>
          <w:kern w:val="0"/>
          <w:szCs w:val="21"/>
          <w:vertAlign w:val="superscript"/>
        </w:rPr>
        <w:fldChar w:fldCharType="begin" w:fldLock="1"/>
      </w:r>
      <w:r w:rsidR="007951C7">
        <w:rPr>
          <w:rFonts w:ascii="Times New Roman" w:hAnsi="Times New Roman" w:cs="Times New Roman"/>
          <w:kern w:val="0"/>
          <w:szCs w:val="21"/>
          <w:vertAlign w:val="superscript"/>
        </w:rPr>
        <w:instrText>ADDIN CSL_CITATION {"citationItems":[{"id":"ITEM-1","itemData":{"ISBN":"2013206534","abstract":"Seiring dengan kemajuan ilmu pengetahuan dan teknologi yang menjadi pusat perhatian dunia. Maka manusia dituntut untuk menciptakan peralatan-peralatan canggih untuk teknologi muktahir. Baik itu dalam bidang bisnis, perdagangan, kesehatan, militer, pendidikan, komunikasi dan budaya maupun bidang-bidang lainnya. Maka teknologi ini membawa perubahan pada peralatan-peralatan yang dulunya bekerja secara analog mulai dikembangkan secara digital, dan bahkan yang bekerjanya secara manual sekarang banyak dikembangkan secara otomatis, seperti kamera digital, handycam, dan sebagainya, dalam pembacaan pengukuran juga sudah dikembangkan ke dalam teknik digital. Contohnya perangkat Load Cell. Dan keuntungan menggunakan Load Cell adalah untuk mempermudah dalam pembacaan data untuk meminimalkan kesalahan dalam pembacaan data yang disebabkan adanya human error.Pada pemilihan Load Cell bertujuan untuk memilih kecocokan dalam membuat rancang bangun alat uji tarik kapasitas 3 ton, dimana dalam pemilihan ini kami memilih jenis load cell “S” karna alat yang kita rancang adalah uji tarik bukan uji tekan. Dengan kapasitas load cell 5 ton. Untuk membuat jarak aman dalam pengujian specimen ST41. Load Cell menggunakan system perangkat elektronik pengolahan data yang menjadi sebuah kurva tegangan regangan. Data-data yang diperoleh tersebut berupa besarnya pembebanan hasil dari pengujian specimen ST41. Kata","author":[{"dropping-particle":"","family":"Gao","given":"Yuqi","non-dropping-particle":"","parse-names":false,"suffix":""},{"dropping-particle":"","family":"Hua","given":"Rui","non-dropping-particle":"","parse-names":false,"suffix":""},{"dropping-particle":"","family":"Hu","given":"Kaiqiang","non-dropping-particle":"","parse-names":false,"suffix":""},{"dropping-particle":"","family":"Wang","given":"Zhao","non-dropping-particle":"","parse-names":false,"suffix":""}],"container-title":"Nutrition research reviews","id":"ITEM-1","issue":"2","issued":{"date-parts":[["2021"]]},"page":"41-48","title":"Carbohydrates deteriorate fatty liver by activating the inflammatory response Yuqi","type":"article-journal","volume":"35"},"uris":["http://www.mendeley.com/documents/?uuid=adbb20c3-8e15-42a7-9f71-856b644cd97e"]}],"mendeley":{"formattedCitation":"(Gao et al., 2021)","plainTextFormattedCitation":"(Gao et al., 2021)","previouslyFormattedCitation":"(Gao et al., 2021)"},"properties":{"noteIndex":0},"schema":"https://github.com/citation-style-language/schema/raw/master/csl-citation.json"}</w:instrText>
      </w:r>
      <w:r w:rsidR="007951C7">
        <w:rPr>
          <w:rFonts w:ascii="Times New Roman" w:hAnsi="Times New Roman" w:cs="Times New Roman"/>
          <w:kern w:val="0"/>
          <w:szCs w:val="21"/>
          <w:vertAlign w:val="superscript"/>
        </w:rPr>
        <w:fldChar w:fldCharType="separate"/>
      </w:r>
      <w:r w:rsidR="007951C7" w:rsidRPr="007951C7">
        <w:rPr>
          <w:rFonts w:ascii="Times New Roman" w:hAnsi="Times New Roman" w:cs="Times New Roman"/>
          <w:noProof/>
          <w:kern w:val="0"/>
          <w:szCs w:val="21"/>
        </w:rPr>
        <w:t>(Gao et al., 2021)</w:t>
      </w:r>
      <w:r w:rsidR="007951C7">
        <w:rPr>
          <w:rFonts w:ascii="Times New Roman" w:hAnsi="Times New Roman" w:cs="Times New Roman"/>
          <w:kern w:val="0"/>
          <w:szCs w:val="21"/>
          <w:vertAlign w:val="superscript"/>
        </w:rPr>
        <w:fldChar w:fldCharType="end"/>
      </w:r>
      <w:r>
        <w:rPr>
          <w:rFonts w:ascii="Times New Roman" w:hAnsi="Times New Roman" w:cs="Times New Roman"/>
          <w:kern w:val="0"/>
          <w:szCs w:val="21"/>
        </w:rPr>
        <w:t>, the alteration of which can cause diseases related to oxidative DNA damage, including neurodegenerative (such as Alzheimer's disease and Parkinson's disease) and autoimmune diseases (such as rheumatoid arthritis and systemic lupus erythematosus)</w:t>
      </w:r>
      <w:r w:rsidR="009C3988">
        <w:rPr>
          <w:rFonts w:ascii="Times New Roman" w:hAnsi="Times New Roman" w:cs="Times New Roman"/>
          <w:kern w:val="0"/>
          <w:szCs w:val="21"/>
        </w:rPr>
        <w:t xml:space="preserve"> </w:t>
      </w:r>
      <w:r w:rsidR="007951C7">
        <w:rPr>
          <w:rFonts w:ascii="Times New Roman" w:hAnsi="Times New Roman" w:cs="Times New Roman"/>
          <w:kern w:val="0"/>
          <w:szCs w:val="21"/>
          <w:vertAlign w:val="superscript"/>
        </w:rPr>
        <w:fldChar w:fldCharType="begin" w:fldLock="1"/>
      </w:r>
      <w:r w:rsidR="007951C7">
        <w:rPr>
          <w:rFonts w:ascii="Times New Roman" w:hAnsi="Times New Roman" w:cs="Times New Roman"/>
          <w:kern w:val="0"/>
          <w:szCs w:val="21"/>
          <w:vertAlign w:val="superscript"/>
        </w:rPr>
        <w:instrText>ADDIN CSL_CITATION {"citationItems":[{"id":"ITEM-1","itemData":{"DOI":"10.1080/10590500902885684","ISSN":"10590501","PMID":"19412858","abstract":"There is extensive experimental evidence that oxidative damage permanently occurs to lipids of cellular membr</w:instrText>
      </w:r>
      <w:r w:rsidR="007951C7">
        <w:rPr>
          <w:rFonts w:ascii="Times New Roman" w:hAnsi="Times New Roman" w:cs="Times New Roman" w:hint="eastAsia"/>
          <w:kern w:val="0"/>
          <w:szCs w:val="21"/>
          <w:vertAlign w:val="superscript"/>
        </w:rPr>
        <w:instrText>anes, proteins, and DNA. In nuclear and mitochondrial DNA, 8-hydroxy-2</w:instrText>
      </w:r>
      <w:r w:rsidR="007951C7">
        <w:rPr>
          <w:rFonts w:ascii="Times New Roman" w:hAnsi="Times New Roman" w:cs="Times New Roman" w:hint="eastAsia"/>
          <w:kern w:val="0"/>
          <w:szCs w:val="21"/>
          <w:vertAlign w:val="superscript"/>
        </w:rPr>
        <w:instrText>′</w:instrText>
      </w:r>
      <w:r w:rsidR="007951C7">
        <w:rPr>
          <w:rFonts w:ascii="Times New Roman" w:hAnsi="Times New Roman" w:cs="Times New Roman" w:hint="eastAsia"/>
          <w:kern w:val="0"/>
          <w:szCs w:val="21"/>
          <w:vertAlign w:val="superscript"/>
        </w:rPr>
        <w:instrText xml:space="preserve"> -deoxyguanosine (8-OHdG) or 8-oxo-7,8-dihydro-2</w:instrText>
      </w:r>
      <w:r w:rsidR="007951C7">
        <w:rPr>
          <w:rFonts w:ascii="Times New Roman" w:hAnsi="Times New Roman" w:cs="Times New Roman" w:hint="eastAsia"/>
          <w:kern w:val="0"/>
          <w:szCs w:val="21"/>
          <w:vertAlign w:val="superscript"/>
        </w:rPr>
        <w:instrText>′</w:instrText>
      </w:r>
      <w:r w:rsidR="007951C7">
        <w:rPr>
          <w:rFonts w:ascii="Times New Roman" w:hAnsi="Times New Roman" w:cs="Times New Roman" w:hint="eastAsia"/>
          <w:kern w:val="0"/>
          <w:szCs w:val="21"/>
          <w:vertAlign w:val="superscript"/>
        </w:rPr>
        <w:instrText xml:space="preserve"> -deoxyguanosine (8-oxodG) is one of the predominant forms of free radical-induced oxidative lesions, and has therefore been widely use</w:instrText>
      </w:r>
      <w:r w:rsidR="007951C7">
        <w:rPr>
          <w:rFonts w:ascii="Times New Roman" w:hAnsi="Times New Roman" w:cs="Times New Roman"/>
          <w:kern w:val="0"/>
          <w:szCs w:val="21"/>
          <w:vertAlign w:val="superscript"/>
        </w:rPr>
        <w:instrText xml:space="preserve">d as a biomarker for oxidative stress and carcinogenesis. Studies showed that urinary 8-OHdG is a good biomarker for risk assessment of various cancers and degenerative diseases. The most widely used method of quantitative analysis is high-performance liquid chromatography (HPLC) with electrochemical detection (EC), gas chromatography-mass spectrometry (GC-MS), and HPLC tandem mass spectrometry. In order to resolve the methodological problems encountered in measuring quantitatively 8-OHdG, the European Standards Committee for Oxidative DNA Damage was set up in 1997 to resolve the artifactual oxidation problems during the procedures of isolation and purification of oxidative DNA products. The biomarker 8-OHdG or 8-oxodG has been a pivotal marker for measuring the effect of endogenous oxidative damage to DNA and as a factor of initiation and promotion of carcinogenesis. The biomarker has been used to estimate the DNA damage in humans after exposure to cancer-causing agents, such as tobacco smoke, asbestos fibers, heavy metals, and polycyclic aromatic hydrocarbons. In recent years, 8-OHdG has been used widely in many studies not only as a biomarker for the measurement of endogenous oxidative DNA damage but also as a risk factor for many diseases including cancer. Copyright © Taylor &amp; Francis Group, LLC.","author":[{"dropping-particle":"","family":"Valavanidis","given":"Athanasios","non-dropping-particle":"","parse-names":false,"suffix":""},{"dropping-particle":"","family":"Vlachogianni","given":"Thomais","non-dropping-particle":"","parse-names":false,"suffix":""},{"dropping-particle":"","family":"Fiotakis","given":"Constantinos","non-dropping-particle":"","parse-names":false,"suffix":""}],"container-title":"Journal of Environmental Science and Health - Part </w:instrText>
      </w:r>
      <w:r w:rsidR="007951C7">
        <w:rPr>
          <w:rFonts w:ascii="Times New Roman" w:hAnsi="Times New Roman" w:cs="Times New Roman" w:hint="eastAsia"/>
          <w:kern w:val="0"/>
          <w:szCs w:val="21"/>
          <w:vertAlign w:val="superscript"/>
        </w:rPr>
        <w:instrText>C Environmental Carcinogenesis and Ecotoxicology Reviews","id":"ITEM-1","issue":"2","issued":{"date-parts":[["2009"]]},"page":"120-139","title":"8-Hydroxy-2</w:instrText>
      </w:r>
      <w:r w:rsidR="007951C7">
        <w:rPr>
          <w:rFonts w:ascii="Times New Roman" w:hAnsi="Times New Roman" w:cs="Times New Roman" w:hint="eastAsia"/>
          <w:kern w:val="0"/>
          <w:szCs w:val="21"/>
          <w:vertAlign w:val="superscript"/>
        </w:rPr>
        <w:instrText>′</w:instrText>
      </w:r>
      <w:r w:rsidR="007951C7">
        <w:rPr>
          <w:rFonts w:ascii="Times New Roman" w:hAnsi="Times New Roman" w:cs="Times New Roman" w:hint="eastAsia"/>
          <w:kern w:val="0"/>
          <w:szCs w:val="21"/>
          <w:vertAlign w:val="superscript"/>
        </w:rPr>
        <w:instrText>-deoxyguanosine (8-OHdG): A critical biomarker of oxidative stress and carcinogenesis","type":"art</w:instrText>
      </w:r>
      <w:r w:rsidR="007951C7">
        <w:rPr>
          <w:rFonts w:ascii="Times New Roman" w:hAnsi="Times New Roman" w:cs="Times New Roman"/>
          <w:kern w:val="0"/>
          <w:szCs w:val="21"/>
          <w:vertAlign w:val="superscript"/>
        </w:rPr>
        <w:instrText>icle-journal","volume":"27"},"uris":["http://www.mendeley.com/documents/?uuid=07afd112-8565-4c28-b649-e3e460b3a56b"]},{"id":"ITEM-2","itemData":{"DOI":"10.1016/j.canlet.2012.01.016","ISSN":"18727980","PMID":"22293091","abstract":"Endogenous and exogenous sources cause oxidatively induced DNA damage in living organisms by a variety of mechanisms. The resulting DNA lesions are mutagenic and, unless repaired, lead to a variety of mutations and consequently to genetic instability, which is a hallmark of cancer. Oxidatively induced DNA damage is repaired in living cells by different pathways that involve a large number of proteins. Unrepaired and accumulated DNA lesions may lead to disease processes including carcinogenesis. Mutations also occur in DNA repair genes, destabilizing the DNA repair system. A majority of cancer cell lines have somatic mutations in their DNA repair genes. In addition, polymorphisms in these genes constitute a risk factor for cancer. In general, defects in DNA repair are associated with cancer. Numerous DNA repair enzymes exist that possess different, but sometimes overlapping substrate specificities for removal of oxidatively induced DNA lesions. In addition to the role of DNA repair in carcinogenesis, recent evidence suggests that some types of tumors possess increased DNA repair capacity that may lead to therapy resistance. DNA repair pathways are drug targets to develop DNA repair inhibitors to increase the efficacy of cancer therapy. Oxidatively induced DNA lesions and DNA repair proteins may serve as potential biomarkers for early detection, cancer risk assessment, prognosis and for monitoring therapy. Taken together, a large body of accumulated evidence suggests that oxidatively induced DNA damage and its repair are important factors in the development of human cancers. Thus this field deserves more research to contribute to the development of cancer biomarkers, DNA repair inhibitors and treatment approaches to better understand and fight cancer. © 2012.","author":[{"dropping-particle":"","family":"Dizdaroglu","given":"Miral","non-dropping-particle":"","parse-names":false,"suffix":""}],"container-title":"Cancer Letters","id":"ITEM-2","issue":"1-2","issued":{"date-parts":[["2012"]]},"page":"26-47","publisher":"Elsevier Ireland Ltd","title":"Oxidatively induced DNA damage: Mechanisms, repair and disease","type":"article-journal","volume":"327"},"uris":["http://www.mendeley.com/documents/?uuid=2112a0a4-ae9d-4bcc-bb26-eafa9b32ecc8"]}],"mendeley":{"formattedCitation":"(Dizdaroglu, 2012; Valavanidis et al., 2009)","plainTextFormattedCitation":"(Dizdaroglu, 2012; Valavanidis et al., 2009)","previouslyFormattedCitation":"(Dizdaroglu, 2012; Valavanidis et al., 2009)"},"properties":{"noteIndex":0},"schema":"https://github.com/citation-style-language/schema/raw/master/csl-citation.json"}</w:instrText>
      </w:r>
      <w:r w:rsidR="007951C7">
        <w:rPr>
          <w:rFonts w:ascii="Times New Roman" w:hAnsi="Times New Roman" w:cs="Times New Roman"/>
          <w:kern w:val="0"/>
          <w:szCs w:val="21"/>
          <w:vertAlign w:val="superscript"/>
        </w:rPr>
        <w:fldChar w:fldCharType="separate"/>
      </w:r>
      <w:r w:rsidR="007951C7" w:rsidRPr="007951C7">
        <w:rPr>
          <w:rFonts w:ascii="Times New Roman" w:hAnsi="Times New Roman" w:cs="Times New Roman"/>
          <w:noProof/>
          <w:kern w:val="0"/>
          <w:szCs w:val="21"/>
        </w:rPr>
        <w:t>(Dizdaroglu, 2012; Valavanidis et al., 2009)</w:t>
      </w:r>
      <w:r w:rsidR="007951C7">
        <w:rPr>
          <w:rFonts w:ascii="Times New Roman" w:hAnsi="Times New Roman" w:cs="Times New Roman"/>
          <w:kern w:val="0"/>
          <w:szCs w:val="21"/>
          <w:vertAlign w:val="superscript"/>
        </w:rPr>
        <w:fldChar w:fldCharType="end"/>
      </w:r>
      <w:r w:rsidR="009C4593">
        <w:rPr>
          <w:rFonts w:ascii="Times New Roman" w:hAnsi="Times New Roman" w:cs="Times New Roman" w:hint="eastAsia"/>
          <w:kern w:val="0"/>
          <w:szCs w:val="21"/>
        </w:rPr>
        <w:t>.</w:t>
      </w:r>
      <w:r w:rsidR="009C3988">
        <w:rPr>
          <w:rFonts w:ascii="Times New Roman" w:hAnsi="Times New Roman" w:cs="Times New Roman"/>
          <w:kern w:val="0"/>
          <w:szCs w:val="21"/>
        </w:rPr>
        <w:t xml:space="preserve"> </w:t>
      </w:r>
      <w:r>
        <w:rPr>
          <w:rFonts w:ascii="Times New Roman" w:hAnsi="Times New Roman" w:cs="Times New Roman"/>
          <w:kern w:val="0"/>
          <w:szCs w:val="21"/>
        </w:rPr>
        <w:t xml:space="preserve">Our study also found that not only ROS, MDA and 8-OHdG contents in CGS larvae significantly </w:t>
      </w:r>
      <w:r w:rsidR="00715295">
        <w:rPr>
          <w:rFonts w:ascii="Times New Roman" w:hAnsi="Times New Roman" w:cs="Times New Roman"/>
          <w:kern w:val="0"/>
          <w:szCs w:val="21"/>
        </w:rPr>
        <w:t xml:space="preserve">increased </w:t>
      </w:r>
      <w:r>
        <w:rPr>
          <w:rFonts w:ascii="Times New Roman" w:hAnsi="Times New Roman" w:cs="Times New Roman"/>
          <w:kern w:val="0"/>
          <w:szCs w:val="21"/>
        </w:rPr>
        <w:t xml:space="preserve">with BF </w:t>
      </w:r>
      <w:r w:rsidR="00715295">
        <w:rPr>
          <w:rFonts w:ascii="Times New Roman" w:hAnsi="Times New Roman" w:cs="Times New Roman"/>
          <w:kern w:val="0"/>
          <w:szCs w:val="21"/>
        </w:rPr>
        <w:t xml:space="preserve">increasing, </w:t>
      </w:r>
      <w:r w:rsidR="00DB1868">
        <w:rPr>
          <w:rFonts w:ascii="Times New Roman" w:hAnsi="Times New Roman" w:cs="Times New Roman"/>
          <w:kern w:val="0"/>
          <w:szCs w:val="21"/>
        </w:rPr>
        <w:t xml:space="preserve">but also </w:t>
      </w:r>
      <w:r>
        <w:rPr>
          <w:rFonts w:ascii="Times New Roman" w:eastAsia="宋体" w:hAnsi="Times New Roman" w:cs="Times New Roman"/>
          <w:kern w:val="0"/>
          <w:szCs w:val="21"/>
        </w:rPr>
        <w:t xml:space="preserve">exhibited symptoms of </w:t>
      </w:r>
      <w:r>
        <w:rPr>
          <w:rFonts w:ascii="Times New Roman" w:hAnsi="Times New Roman" w:cs="Times New Roman"/>
          <w:kern w:val="0"/>
          <w:szCs w:val="21"/>
        </w:rPr>
        <w:t>rheumatoid arthritis and the viral myocarditis and systemic lupus erythematosus pathway</w:t>
      </w:r>
      <w:r>
        <w:rPr>
          <w:rFonts w:ascii="Times New Roman" w:eastAsia="宋体" w:hAnsi="Times New Roman" w:cs="Times New Roman"/>
          <w:kern w:val="0"/>
          <w:szCs w:val="21"/>
        </w:rPr>
        <w:t xml:space="preserve">s </w:t>
      </w:r>
      <w:r>
        <w:rPr>
          <w:rFonts w:ascii="Times New Roman" w:hAnsi="Times New Roman" w:cs="Times New Roman"/>
          <w:kern w:val="0"/>
          <w:szCs w:val="21"/>
        </w:rPr>
        <w:t xml:space="preserve">were significantly enriched in </w:t>
      </w:r>
      <w:r>
        <w:rPr>
          <w:rFonts w:ascii="Times New Roman" w:eastAsia="宋体" w:hAnsi="Times New Roman" w:cs="Times New Roman"/>
          <w:kern w:val="0"/>
          <w:szCs w:val="21"/>
        </w:rPr>
        <w:t>the liver</w:t>
      </w:r>
      <w:r w:rsidR="00DB1868">
        <w:rPr>
          <w:rFonts w:ascii="Times New Roman" w:eastAsia="宋体" w:hAnsi="Times New Roman" w:cs="Times New Roman"/>
          <w:kern w:val="0"/>
          <w:szCs w:val="21"/>
        </w:rPr>
        <w:t xml:space="preserve"> by BF exposure</w:t>
      </w:r>
      <w:r>
        <w:rPr>
          <w:rFonts w:ascii="Times New Roman" w:hAnsi="Times New Roman" w:cs="Times New Roman"/>
          <w:kern w:val="0"/>
          <w:szCs w:val="21"/>
        </w:rPr>
        <w:t>. It is possible that BF caused oxidative stress and DNA damage in CGS larvae that was the result of the combined action of abnormally high ROS and MDA. In summary, when the production of free radicals exceeds the potential of the self-defense system, it can cause different degrees of oxidative damage and lipid peroxidation to occur, leading to oxidative stress, abnormal lipid metabolism</w:t>
      </w:r>
      <w:r>
        <w:rPr>
          <w:rFonts w:ascii="Times New Roman" w:eastAsia="宋体" w:hAnsi="Times New Roman" w:cs="Times New Roman"/>
          <w:kern w:val="0"/>
          <w:szCs w:val="21"/>
        </w:rPr>
        <w:t>, and DNA damage</w:t>
      </w:r>
      <w:r w:rsidR="0020187D">
        <w:rPr>
          <w:rFonts w:ascii="Times New Roman" w:eastAsia="宋体" w:hAnsi="Times New Roman" w:cs="Times New Roman"/>
          <w:kern w:val="0"/>
          <w:szCs w:val="21"/>
        </w:rPr>
        <w:t xml:space="preserve"> </w:t>
      </w:r>
      <w:r w:rsidR="007951C7">
        <w:rPr>
          <w:rFonts w:ascii="Times New Roman" w:eastAsia="宋体" w:hAnsi="Times New Roman" w:cs="Times New Roman"/>
          <w:kern w:val="0"/>
          <w:szCs w:val="21"/>
          <w:vertAlign w:val="superscript"/>
        </w:rPr>
        <w:fldChar w:fldCharType="begin" w:fldLock="1"/>
      </w:r>
      <w:r w:rsidR="007951C7">
        <w:rPr>
          <w:rFonts w:ascii="Times New Roman" w:eastAsia="宋体" w:hAnsi="Times New Roman" w:cs="Times New Roman"/>
          <w:kern w:val="0"/>
          <w:szCs w:val="21"/>
          <w:vertAlign w:val="superscript"/>
        </w:rPr>
        <w:instrText>ADDIN CSL_CITATION {"citationItems":[{"id":"ITEM-1","itemData":{"DOI":"10.22092/IJFS.2018.114646","ISSN":"15622916","abstract":"Use of different pesticides in the agriculture sector, in order to boost crop yield within a short time period and low labor, has been tremendously increased since the last decade. Pesticide use has elevated crop yield but has produced a number of pronounced problems regarding environmental and health safety. The continuously deteriorating toxicological effects of these pesticides are not only hazardous to humans and land animals but also to economically important aquatic organisms such as fish. One of these extensively used pesticides is an organochlorine insecticide, endosulfan. Experiments conducted in the past have shown the deleterious effects of endosulfan on different aspects of various fish species but its genetic toxicity has not been well studied. The present study was conducted to diagnose the DNA damage induced by endosulfan in peripheral blood erythrocytes of an economically important teleost fish rohu, Labeo rohita (Hamilton, 1822) using comet assay. The fish were exposed to three different sub lethal concentrations (1, 1.5 and 2 μg L-1) of endosulfan for 7, 14, 21 and 28 days. Rohu showed different extents of DNA damage at different concentrations and time, in terms of genetic damage index (GDI), percentage of damaged cells (% damaged cell) and cumulative tail length (μm) of the comets. Increase in DNA damage was observed to be concentration and time-dependent. The current study revealed the severe genotoxic effects of endosulfan in rohu, Labeo rohita. Therefore its discriminate use should be avoided as it can contribute to the decline of rohu in natural habitats. Also it should be considered as a hazardous threat for human consumption.","author":[{"dropping-particle":"","family":"Ullah","given":"S.","non-dropping-particle":"","parse-names":false,"suffix":""},{"dropping-particle":"","family":"Hasan","given":"Z.","non-dropping-particle":"","parse-names":false,"suffix":""},{"dropping-particle":"","family":"Zorriehzahra","given":"M. J.","non-dropping-particle":"","parse-names":false,"suffix":""},{"dropping-particle":"","family":"Ahmad","given":"S.","non-dropping-particle":"","parse-names":false,"suffix":""}],"container-title":"Iranian Journal of Fisheries Sciences","id":"ITEM-1","issue":"1","issued":{"date-parts":[["2017"]]},"page":"138-149","title":"Diagnosis of endosulfan induced DNA damage in rohu (Labeo rohita, Hamilton) using comet assay","type":"article-journal","volume":"16"},"uris":["http://www.mendeley.com/documents/?uuid=9e159b4f-d46a-4a18-8f71-086e68fe6fd7"]}],"mendeley":{"formattedCitation":"(Ullah et al., 2017)","plainTextFormattedCitation":"(Ullah et al., 2017)","previouslyFormattedCitation":"(Ullah et al., 2017)"},"properties":{"noteIndex":0},"schema":"https://github.com/citation-style-language/schema/raw/master/csl-citation.json"}</w:instrText>
      </w:r>
      <w:r w:rsidR="007951C7">
        <w:rPr>
          <w:rFonts w:ascii="Times New Roman" w:eastAsia="宋体" w:hAnsi="Times New Roman" w:cs="Times New Roman"/>
          <w:kern w:val="0"/>
          <w:szCs w:val="21"/>
          <w:vertAlign w:val="superscript"/>
        </w:rPr>
        <w:fldChar w:fldCharType="separate"/>
      </w:r>
      <w:r w:rsidR="007951C7" w:rsidRPr="007951C7">
        <w:rPr>
          <w:rFonts w:ascii="Times New Roman" w:eastAsia="宋体" w:hAnsi="Times New Roman" w:cs="Times New Roman"/>
          <w:noProof/>
          <w:kern w:val="0"/>
          <w:szCs w:val="21"/>
        </w:rPr>
        <w:t>(Ullah et al., 2017)</w:t>
      </w:r>
      <w:r w:rsidR="007951C7">
        <w:rPr>
          <w:rFonts w:ascii="Times New Roman" w:eastAsia="宋体" w:hAnsi="Times New Roman" w:cs="Times New Roman"/>
          <w:kern w:val="0"/>
          <w:szCs w:val="21"/>
          <w:vertAlign w:val="superscript"/>
        </w:rPr>
        <w:fldChar w:fldCharType="end"/>
      </w:r>
      <w:r>
        <w:rPr>
          <w:rFonts w:ascii="Times New Roman" w:hAnsi="Times New Roman" w:cs="Times New Roman"/>
          <w:kern w:val="0"/>
          <w:szCs w:val="21"/>
        </w:rPr>
        <w:t>.</w:t>
      </w:r>
      <w:bookmarkStart w:id="8" w:name="OLE_LINK3"/>
      <w:bookmarkEnd w:id="8"/>
    </w:p>
    <w:p w14:paraId="6787E9EB" w14:textId="77777777" w:rsidR="00950088" w:rsidRDefault="00000000" w:rsidP="00FC3758">
      <w:pPr>
        <w:pStyle w:val="af"/>
        <w:numPr>
          <w:ilvl w:val="1"/>
          <w:numId w:val="1"/>
        </w:numPr>
        <w:suppressAutoHyphens/>
        <w:spacing w:line="360" w:lineRule="auto"/>
        <w:ind w:firstLineChars="0"/>
        <w:rPr>
          <w:rFonts w:ascii="Times New Roman" w:hAnsi="Times New Roman" w:cs="Times New Roman"/>
          <w:kern w:val="0"/>
          <w:szCs w:val="21"/>
        </w:rPr>
      </w:pPr>
      <w:r>
        <w:rPr>
          <w:rFonts w:ascii="Times New Roman" w:hAnsi="Times New Roman" w:cs="Times New Roman"/>
          <w:kern w:val="0"/>
          <w:szCs w:val="21"/>
        </w:rPr>
        <w:t>Effects of BF on the live tissue of CGS larvae</w:t>
      </w:r>
    </w:p>
    <w:p w14:paraId="6A5D6898" w14:textId="3994C7FE" w:rsidR="00950088" w:rsidRPr="00FC3758" w:rsidRDefault="00000000" w:rsidP="006C6DBF">
      <w:pPr>
        <w:suppressAutoHyphens/>
        <w:spacing w:line="360" w:lineRule="auto"/>
        <w:ind w:firstLineChars="200" w:firstLine="420"/>
        <w:rPr>
          <w:rFonts w:ascii="Times New Roman" w:eastAsia="宋体" w:hAnsi="Times New Roman" w:cs="Times New Roman"/>
          <w:kern w:val="0"/>
          <w:szCs w:val="21"/>
        </w:rPr>
      </w:pPr>
      <w:r>
        <w:rPr>
          <w:rFonts w:ascii="Times New Roman" w:hAnsi="Times New Roman" w:cs="Times New Roman"/>
          <w:kern w:val="0"/>
          <w:szCs w:val="21"/>
        </w:rPr>
        <w:t>The liver</w:t>
      </w:r>
      <w:r w:rsidR="00024FBD">
        <w:rPr>
          <w:rFonts w:ascii="Times New Roman" w:hAnsi="Times New Roman" w:cs="Times New Roman"/>
          <w:kern w:val="0"/>
          <w:szCs w:val="21"/>
        </w:rPr>
        <w:t xml:space="preserve"> is the main organ that </w:t>
      </w:r>
      <w:r>
        <w:rPr>
          <w:rFonts w:ascii="Times New Roman" w:hAnsi="Times New Roman" w:cs="Times New Roman"/>
          <w:kern w:val="0"/>
          <w:szCs w:val="21"/>
        </w:rPr>
        <w:t>for metabolism, detoxification, and excretion</w:t>
      </w:r>
      <w:r w:rsidR="00024FBD">
        <w:rPr>
          <w:rFonts w:ascii="Times New Roman" w:hAnsi="Times New Roman" w:cs="Times New Roman"/>
          <w:kern w:val="0"/>
          <w:szCs w:val="21"/>
        </w:rPr>
        <w:t xml:space="preserve"> of harmful substances</w:t>
      </w:r>
      <w:r w:rsidR="007951C7">
        <w:rPr>
          <w:rFonts w:ascii="Times New Roman" w:hAnsi="Times New Roman" w:cs="Times New Roman"/>
          <w:kern w:val="0"/>
          <w:szCs w:val="21"/>
        </w:rPr>
        <w:t xml:space="preserve"> </w:t>
      </w:r>
      <w:r w:rsidR="007951C7">
        <w:rPr>
          <w:rFonts w:ascii="Times New Roman" w:hAnsi="Times New Roman" w:cs="Times New Roman"/>
          <w:kern w:val="0"/>
          <w:szCs w:val="21"/>
        </w:rPr>
        <w:fldChar w:fldCharType="begin" w:fldLock="1"/>
      </w:r>
      <w:r w:rsidR="007951C7">
        <w:rPr>
          <w:rFonts w:ascii="Times New Roman" w:hAnsi="Times New Roman" w:cs="Times New Roman"/>
          <w:kern w:val="0"/>
          <w:szCs w:val="21"/>
        </w:rPr>
        <w:instrText xml:space="preserve">ADDIN CSL_CITATION {"citationItems":[{"id":"ITEM-1","itemData":{"DOI":"10.1016/j.scitotenv.2020.138821","ISSN":"18791026","PMID":"32361119","abstract":"Bifenthrin (BF) is an insecticide that is commonly used to control agricultural and domestic pests and is widespread in aquatic environments. Although previous studies have found that BF is toxic to aquatic organisms, such a comprehensive study of the mechanism of toxic effects in bivalves is not common. In this study, to assess the toxic effects of BF on bivalves, adult Corbicula fluminea (C. fluminea) were exposed to 0, 1, 5, and 25 μg/L BF for 15 days. Transcriptome analysis revealed that BF exposure significantly altered the expression of genes involved in detoxification, antioxidation, and metabolism. Moreover, the ROS content and GST activity at 25 μg/L treatments were significantly increased (p &lt; 0.05), and significant increases of MDA concentration and CAT activity were observed at 5 and 25 μg/L treatments (p &lt; 0.05). However, AChE activity was markedly inhibited at 25 μg/L treatments (p &lt; 0.05). In addition, vacuolation in the digestive tubules and the hemolytic infiltration of connective tissue were observed at all treatments, and the degeneration of the digestive tubule was observed at 5 and 25 </w:instrText>
      </w:r>
      <w:r w:rsidR="007951C7">
        <w:rPr>
          <w:rFonts w:ascii="Times New Roman" w:hAnsi="Times New Roman" w:cs="Times New Roman" w:hint="eastAsia"/>
          <w:kern w:val="0"/>
          <w:szCs w:val="21"/>
        </w:rPr>
        <w:instrText>μ</w:instrText>
      </w:r>
      <w:r w:rsidR="007951C7">
        <w:rPr>
          <w:rFonts w:ascii="Times New Roman" w:hAnsi="Times New Roman" w:cs="Times New Roman"/>
          <w:kern w:val="0"/>
          <w:szCs w:val="21"/>
        </w:rPr>
        <w:instrText>g/L treatments. In the behavioural assay, the siphoning behaviour of C. fluminea was significantly inhibited at 25 μg/L treatments (p &lt; 0.05), whereas no significant change in burrowing behaviour was observed. Our findings suggested that BF exposure caused changes in detoxification, antioxidation, and metabolism pathways, biomarker activity or concentrations and histopathological characteristics, resulting in changes in behaviour. Therefore, our findings provide a basis for further evaluation of the toxicity of pyrethroid insecticides in bivalves.","author":[{"dropping-particle":"","family":"Zhang","given":"Huan","non-dropping-particle":"","parse-names":false,"suffix":""},{"dropping-particle":"","family":"Hong","given":"Xiangsheng","non-dropping-particle":"","parse-names":false,"suffix":""},{"dropping-particle":"","family":"Yan","given":"Saihong","non-dropping-particle":"","parse-names":false,"suffix":""},{"dropping-particle":"","family":"Zha","given":"Jinmiao","non-dropping-particle":"","parse-names":false,"suffix":""},{"dropping-particle":"","family":"Qin","given":"Jianhui","non-dropping-particle":"","parse-names":false,"suffix":""}],"container-title":"Science of the Total Environment","id":"ITEM-1","issued":{"date-parts":[["2020"]]},"page":"138821","publisher":"Elsevier B.V.","title":"Environmentally relevant concentrations of bifenthrin induce changes in behaviour, biomarkers, histological characteristics, and the transcriptome in Corbicula fluminea","type":"article-journal","volume":"728"},"uris":["http://www.mendeley.com/documents/?uuid=c72dacdf-f492-4629-8b9e-8bb04a1cf123"]},{"id":"ITEM-2","itemData":{"DOI":"10.1016/j.ecoenv.2018.06.002","ISSN":"10902414","PMID":"29886314","abstract":"Organophosphorus pesticides form a diverse group of chemicals, having a wide range of physicochemical properties with crucial toxicological actions and endpoints. These are extensively used to control pests of different food (fruits, vegetables, tea, etc.) and non-food (tobacco, cotton, etc.) crops. Malathion is an important widely used organophosphorus pesticide but its hepatotoxic effects on fish are not well studied. Therefore, the current study was designed to investigate the hepatotoxic effects of Malathion on rohu (Labeo rohita) fish in a semi-static system using different parameters. The LC 50 of Malathion was found to be 5 µg/L for rohu for 96 h through Probit analysis and was used for further toxicity testing. To find the hepatotoxic effects of Malathion, changes in different biochemical indices including protein contents, Lipid Peroxidation (LPO), activities of four protein metabolic enzymes [Aspartate Aminotransferase (AAT), Lactate Dehydrogenase (LDH), Alanine Aminotransferase (AlAT), and Glutamate Dehydrogenase (GDH)], seven antioxidant enzymes [Catalase (CAT), Superoxide Dismutase (SOD), Peroxidase (POD), Glutathione (GSH), Glutathione Reductase (GR), Glutathione-s-transferase (GST), and Glutathione Peroxidase (GSH-Px)], DNA damage [in term of comet tail length, tail moment, DNA percentage in tail, and olive tail moment], reactive oxygen species (ROS), and Histopathological alterations were assayed. Malathion exposure led to a time-reliant significant (P &lt; 0.05) decrease in protein contents and a significant (P &lt; 0.05) increase in ROS, LPO, enzymatic activities, and DNA damage. The histopathological examination of the liver showed different changes including hepatic necrosis, fatty infiltration, hemorrhage vacuolation, glycogen vacuolation, congestion, and cellular swelling. The current study clearly revealed Malathion as a potent hepatotoxic pesticide; therefore the injudicious, indiscriminate and extensive use of Malathion should be prohibited or at least reduced and strictly monitored.","author":[{"dropping-particle":"","family":"Ullah","given":"Sana","non-dropping-particle":"","parse-names":false,"suffix":""},{"dropping-particle":"","family":"Li","given":"Zhongqiu","non-dropping-particle":"","parse-names":false,"suffix":""},{"dropping-particle":"","family":"Hasan","given":"Zaigham","non-dropping-particle":"","parse-names":false,"suffix":""},{"dropping-particle":"","family":"Khan","given":"Shahid Ullah","non-dropping-particle":"","parse-names":false,"suffix":""},{"dropping-particle":"","family":"Fahad","given":"Shah","non-dropping-particle":"","parse-names":false,"suffix":""}],"container-title":"Ecotoxicology and Environmental Safety","id":"ITEM-2","issue":"February","issued":{"date-parts":[["2018"]]},"page":"270-280","publisher":"Elsevier Inc.","title":"Malathion induced oxidative stress leads to histopathological and biochemical toxicity in the liver of rohu (Labeo rohita, Hamilton) at acute concentration","type":"article-journal","volume":"161"},"uris":["http://www.mendeley.com/documents/?uuid=f94430ba-d9b7-49a3-9699-24be8e1517a0"]},{"id":"ITEM-3","itemData":{"DOI":"10.1111/j.1742-7843.2007.00157.x","ISSN":"17427835","PMID":"18053029","abstract":"The monosex Nile tilapia, Oreochromis niloticus L., was exposed to subacute concentration (1.46 μg/l) of a pyrethroid insecticide, deltamethrin for 28 consecutive days. Behavioural, clinical, haematological, serum biochemical and histopathological consequences were assayed at a regular interval of 7 days. The abnormal behavioural responses and toxic symptoms were described. Exposure to deltamethrin not only significantly decreased lymphocyte and basophile percentages, total leucocytic and total erythrocytic counts, haemoglobin percentage and packed cell volume value, but also caused serious effects in the form of hypoproteinaemia, hypoalbuminaemia, hypercholesterolaemia, hyperglycaemia and significantly increased serum aspartate aminotransferase, alanine aminotransferase and alkaline phosphatase activities. Moreover, the histopathological results indicated that the haemobiotic organs were affected by deltamethrin, primarily liver and gills. Our data suggest that subacute exposure to deltamethrin exerts a serious metabolic distress on the fish corresponding to the exposure period. In addition, the assayed parameters and histopathological findings can be as good biomarkers of pyrethroid ecosystem pollution. © 2007 The Authors.","author":[{"dropping-particle":"","family":"El-Sayed","given":"Yasser Said","non-dropping-particle":"","parse-names":false,"suffix":""},{"dropping-particle":"","family":"Saad","given":"Talaat Talaat","non-dropping-particle":"","parse-names":false,"suffix":""}],"container-title":"Basic and Clinical Pharmacology and Toxicology","id":"ITEM-3","issue":"3","issued":{"date-parts":[["2007"]]},"page":"293-299","title":"Subacute intoxication of a deltamethrin-based preparation (Butox® 5% EC) in monosex Nile tilapia, Oreochromis niloticus L.","type":"article-journal","volume":"102"},"uris":["http://www.mendeley.com/documents/?uuid=60f95a8b-5f90-4e06-826f-b2bf5f06a625"]}],"mendeley":{"formattedCitation":"(El-Sayed and Saad, 2007; Ullah et al., 2018; H. Zhang et al., 2020)","plainTextFormattedCitation":"(El-Sayed and Saad, 2007; Ullah et al., 2018; H. Zhang et al., 2020)","previouslyFormattedCitation":"(El-Sayed and Saad, 2007; Ullah et al., 2018; H. Zhang et al., 2020)"},"properties":{"noteIndex":0},"schema":"https://github.com/citation-style-language/schema/raw/master/csl-citation.json"}</w:instrText>
      </w:r>
      <w:r w:rsidR="007951C7">
        <w:rPr>
          <w:rFonts w:ascii="Times New Roman" w:hAnsi="Times New Roman" w:cs="Times New Roman"/>
          <w:kern w:val="0"/>
          <w:szCs w:val="21"/>
        </w:rPr>
        <w:fldChar w:fldCharType="separate"/>
      </w:r>
      <w:r w:rsidR="007951C7" w:rsidRPr="007951C7">
        <w:rPr>
          <w:rFonts w:ascii="Times New Roman" w:hAnsi="Times New Roman" w:cs="Times New Roman"/>
          <w:noProof/>
          <w:kern w:val="0"/>
          <w:szCs w:val="21"/>
        </w:rPr>
        <w:t>(El-Sayed and Saad, 2007; Ullah et al., 2018; H. Zhang et al., 2020)</w:t>
      </w:r>
      <w:r w:rsidR="007951C7">
        <w:rPr>
          <w:rFonts w:ascii="Times New Roman" w:hAnsi="Times New Roman" w:cs="Times New Roman"/>
          <w:kern w:val="0"/>
          <w:szCs w:val="21"/>
        </w:rPr>
        <w:fldChar w:fldCharType="end"/>
      </w:r>
      <w:r w:rsidR="00024FBD">
        <w:rPr>
          <w:rFonts w:ascii="Times New Roman" w:hAnsi="Times New Roman" w:cs="Times New Roman"/>
          <w:kern w:val="0"/>
          <w:szCs w:val="21"/>
        </w:rPr>
        <w:t xml:space="preserve">. </w:t>
      </w:r>
      <w:r w:rsidR="00060019" w:rsidRPr="0083523B">
        <w:rPr>
          <w:rFonts w:ascii="Times New Roman" w:hAnsi="Times New Roman" w:cs="Times New Roman"/>
          <w:kern w:val="0"/>
          <w:szCs w:val="21"/>
        </w:rPr>
        <w:t>Liver histopathological changes are key biomarkers to judge the toxic effects caused by exogenous poisons, environmental stressors, and sudden harmful environmental changes</w:t>
      </w:r>
      <w:r w:rsidRPr="0083523B">
        <w:rPr>
          <w:rFonts w:ascii="Times New Roman" w:hAnsi="Times New Roman" w:cs="Times New Roman"/>
          <w:kern w:val="0"/>
          <w:szCs w:val="21"/>
        </w:rPr>
        <w:t xml:space="preserve"> </w:t>
      </w:r>
      <w:r w:rsidR="007951C7">
        <w:rPr>
          <w:rFonts w:ascii="Times New Roman" w:hAnsi="Times New Roman" w:cs="Times New Roman"/>
          <w:kern w:val="0"/>
          <w:szCs w:val="21"/>
        </w:rPr>
        <w:fldChar w:fldCharType="begin" w:fldLock="1"/>
      </w:r>
      <w:r w:rsidR="007951C7">
        <w:rPr>
          <w:rFonts w:ascii="Times New Roman" w:hAnsi="Times New Roman" w:cs="Times New Roman"/>
          <w:kern w:val="0"/>
          <w:szCs w:val="21"/>
        </w:rPr>
        <w:instrText>ADDIN CSL_CITATION {"citationItems":[{"id":"ITEM-1","itemData":{"DOI":"10.1016/j.ecoenv.2018.06.002","ISSN":"10902414","PMID":"29886314","abstract":"Organophosphorus pesticides form a diverse group of chemicals, having a wide range of physicochemical properties with crucial toxicological actions and endpoints. These are extensively used to control pests of different food (fruits, vegetables, tea, etc.) and non-food (tobacco, cotton, etc.) crops. Malathion is an important widely used organophosphorus pesticide but its hepatotoxic effects on fish are not well studied. Therefore, the current study was designed to investigate the hepatotoxic effects of Malathion on rohu (Labeo rohita) fish in a semi-static system using different parameters. The LC 50 of Malathion was found to be 5 µg/L for rohu for 96 h through Probit analysis and was used for further toxicity testing. To find the hepatotoxic effects of Malathion, changes in different biochemical indices including protein contents, Lipid Peroxidation (LPO), activities of four protein metabolic enzymes [Aspartate Aminotransferase (AAT), Lactate Dehydrogenase (LDH), Alanine Aminotransferase (AlAT), and Glutamate Dehydrogenase (GDH)], seven antioxidant enzymes [Catalase (CAT), Superoxide Dismutase (SOD), Peroxidase (POD), Glutathione (GSH), Glutathione Reductase (GR), Glutathione-s-transferase (GST), and Glutathione Peroxidase (GSH-Px)], DNA damage [in term of comet tail length, tail moment, DNA percentage in tail, and olive tail moment], reactive oxygen species (ROS), and Histopathological alterations were assayed. Malathion exposure led to a time-reliant significant (P &lt; 0.05) decrease in protein contents and a significant (P &lt; 0.05) increase in ROS, LPO, enzymatic activities, and DNA damage. The histopathological examination of the liver showed different changes including hepatic necrosis, fatty infiltration, hemorrhage vacuolation, glycogen vacuolation, congestion, and cellular swelling. The current study clearly revealed Malathion as a potent hepatotoxic pesticide; therefore the injudicious, indiscriminate and extensive use of Malathion should be prohibited or at least reduced and strictly monitored.","author":[{"dropping-particle":"","family":"Ullah","given":"Sana","non-dropping-particle":"","parse-names":false,"suffix":""},{"dropping-particle":"","family":"Li","given":"Zhongqiu","non-dropping-particle":"","parse-names":false,"suffix":""},{"dropping-particle":"","family":"Hasan","given":"Zaigham","non-dropping-particle":"","parse-names":false,"suffix":""},{"dropping-particle":"","family":"Khan","given":"Shahid Ullah","non-dropping-particle":"","parse-names":false,"suffix":""},{"dropping-particle":"","family":"Fahad","given":"Shah","non-dropping-particle":"","parse-names":false,"suffix":""}],"container-title":"Ecotoxicology and Environmental Safety","id":"ITEM-1","issue":"February","issued":{"date-parts":[["2018"]]},"page":"270-280","publisher":"Elsevier Inc.","title":"Malathion induced oxidative stress leads to histopathological and biochemical toxicity in the liver of rohu (Labeo rohita, Hamilton) at acute concentration","type":"article-journal","volume":"161"},"uris":["http://www.mendeley.com/documents/?uuid=f94430ba-d9b7-49a3-9699-24be8e1517a0"]},{"id":"ITEM-2","itemData":{"DOI":"10.17221/5580-VETMED","ISSN":"03758427","abstract":"The aim of this study was to assess the effect of cypermethrin [(R,S)-a-cyano-3-phenoxybenzyl (1RS)- -cis,tra-3-(2,2-dichlorovinyl)-2,2-dimethyl cyclopropane carboxylate] on rainbow trout (Oncorhynchus mykiss). The effect was assessed on the basis of the results of acute toxicity tests and on the comparison of results of haematological, biochemical and histopathological tissue examinations of a control and experimental group exposed to Alimetrine 10 EM pesticide preparation (active substance 100 g/l of cypermethrin). The acute semistatical toxicity test lasting 96 h was performed on rainbow trout juveniles. The 96hLC50 value of Alimethrine 10 EM was 31.4 μg/l. Examination of erythrocyte, leukocyte and biochemical profile and histopathological tissue examination was performed on 15 control and 15 experimental specimens of one-to-two-year-old rainbow trout after 96 h of exposure to Alimetrine 10 EM in the concentration of 31.4 μg/l. The experimental group showed significantly higher values (P &lt; 0.01) of plasma ammonia (NH3), aspartate aminotransferase (AST), lactate dehydrogenase (LDH), creatine kinase (CK), lactate (LACT) and significantly lower (P &lt; 0.01) values of alkaline phosphatase (ALP) compared to the control group. Also, a significant decrease in count of developmental forms of myeloid sequence, and segmented neutrophile granulocytes in the experimental group were found. Teleangioectasiae of secondary gill lamellae and degeneration of hepatocytes were observed with histopathological examination. No histopathological changes were demonstrated in tissues (skin, spleen, cranial and caudal kidney) of rainbow trout following exposure to cypermethrine. The cypermethrine-based Alimethrinee 10 EM pesticide preparation was classified among substances strongly toxic for fish.","author":[{"dropping-particle":"","family":"Velisek","given":"Josef","non-dropping-particle":"","parse-names":false,"suffix":""},{"dropping-particle":"","family":"Wlasow","given":"T.","non-dropping-particle":"","parse-names":false,"suffix":""},{"dropping-particle":"","family":"Gomulka","given":"P.","non-dropping-particle":"","parse-names":false,"suffix":""},{"dropping-particle":"","family":"Svobodova","given":"Z.","non-dropping-particle":"","parse-names":false,"suffix":""},{"dropping-particle":"","family":"Dobsikova","given":"R.","non-dropping-particle":"","parse-names":false,"suffix":""},{"dropping-particle":"","family":"Novotny","given":"L.","non-dropping-particle":"","parse-names":false,"suffix":""},{"dropping-particle":"","family":"Dudzik","given":"M.","non-dropping-particle":"","parse-names":false,"suffix":""}],"container-title":"Veterinarni Medicina","id":"ITEM-2","issue":"10","issued":{"date-parts":[["2006"]]},"page":"469-476","title":"Effects of cypermethrin on rainbow trout (Oncorhynchus mykiss)","type":"article-journal","volume":"51"},"uris":["http://www.mendeley.com/documents/?uuid=1963553b-0d78-4aea-a829-c26051a12080"]}],"mendeley":{"formattedCitation":"(Ullah et al., 2018; Velisek et al., 2006)","plainTextFormattedCitation":"(Ullah et al., 2018; Velisek et al., 2006)","previouslyFormattedCitation":"(Ullah et al., 2018; Velisek et al., 2006)"},"properties":{"noteIndex":0},"schema":"https://github.com/citation-style-language/schema/raw/master/csl-citation.json"}</w:instrText>
      </w:r>
      <w:r w:rsidR="007951C7">
        <w:rPr>
          <w:rFonts w:ascii="Times New Roman" w:hAnsi="Times New Roman" w:cs="Times New Roman"/>
          <w:kern w:val="0"/>
          <w:szCs w:val="21"/>
        </w:rPr>
        <w:fldChar w:fldCharType="separate"/>
      </w:r>
      <w:r w:rsidR="007951C7" w:rsidRPr="007951C7">
        <w:rPr>
          <w:rFonts w:ascii="Times New Roman" w:hAnsi="Times New Roman" w:cs="Times New Roman"/>
          <w:noProof/>
          <w:kern w:val="0"/>
          <w:szCs w:val="21"/>
        </w:rPr>
        <w:t>(Ullah et al., 2018; Velisek et al., 2006)</w:t>
      </w:r>
      <w:r w:rsidR="007951C7">
        <w:rPr>
          <w:rFonts w:ascii="Times New Roman" w:hAnsi="Times New Roman" w:cs="Times New Roman"/>
          <w:kern w:val="0"/>
          <w:szCs w:val="21"/>
        </w:rPr>
        <w:fldChar w:fldCharType="end"/>
      </w:r>
      <w:r>
        <w:rPr>
          <w:rFonts w:ascii="Times New Roman" w:eastAsia="宋体" w:hAnsi="Times New Roman" w:cs="Times New Roman"/>
          <w:kern w:val="0"/>
          <w:szCs w:val="21"/>
        </w:rPr>
        <w:t>. Various studies have shown that pyrethroid pesticides can cause liver cell degeneration and necrosis, hepatocyte walls</w:t>
      </w:r>
      <w:r w:rsidR="00CF047C">
        <w:rPr>
          <w:rFonts w:ascii="Times New Roman" w:eastAsia="宋体" w:hAnsi="Times New Roman" w:cs="Times New Roman"/>
          <w:kern w:val="0"/>
          <w:szCs w:val="21"/>
        </w:rPr>
        <w:t xml:space="preserve"> disappearance</w:t>
      </w:r>
      <w:r>
        <w:rPr>
          <w:rFonts w:ascii="Times New Roman" w:eastAsia="宋体" w:hAnsi="Times New Roman" w:cs="Times New Roman"/>
          <w:kern w:val="0"/>
          <w:szCs w:val="21"/>
        </w:rPr>
        <w:t>, fat vacuole formation</w:t>
      </w:r>
      <w:r w:rsidR="00CF047C">
        <w:rPr>
          <w:rFonts w:ascii="Times New Roman" w:eastAsia="宋体" w:hAnsi="Times New Roman" w:cs="Times New Roman"/>
          <w:kern w:val="0"/>
          <w:szCs w:val="21"/>
        </w:rPr>
        <w:t xml:space="preserve"> increase</w:t>
      </w:r>
      <w:r>
        <w:rPr>
          <w:rFonts w:ascii="Times New Roman" w:eastAsia="宋体" w:hAnsi="Times New Roman" w:cs="Times New Roman"/>
          <w:kern w:val="0"/>
          <w:szCs w:val="21"/>
        </w:rPr>
        <w:t xml:space="preserve">, and focal coagulative necrosis in fish, such as </w:t>
      </w:r>
      <w:proofErr w:type="spellStart"/>
      <w:r>
        <w:rPr>
          <w:rFonts w:ascii="Times New Roman" w:hAnsi="Times New Roman" w:cs="Times New Roman"/>
          <w:i/>
          <w:iCs/>
          <w:kern w:val="0"/>
          <w:szCs w:val="21"/>
        </w:rPr>
        <w:t>Labeo</w:t>
      </w:r>
      <w:proofErr w:type="spellEnd"/>
      <w:r>
        <w:rPr>
          <w:rFonts w:ascii="Times New Roman" w:hAnsi="Times New Roman" w:cs="Times New Roman"/>
          <w:i/>
          <w:iCs/>
          <w:kern w:val="0"/>
          <w:szCs w:val="21"/>
        </w:rPr>
        <w:t xml:space="preserve"> </w:t>
      </w:r>
      <w:proofErr w:type="spellStart"/>
      <w:r>
        <w:rPr>
          <w:rFonts w:ascii="Times New Roman" w:hAnsi="Times New Roman" w:cs="Times New Roman"/>
          <w:i/>
          <w:iCs/>
          <w:kern w:val="0"/>
          <w:szCs w:val="21"/>
        </w:rPr>
        <w:t>Roxita</w:t>
      </w:r>
      <w:proofErr w:type="spellEnd"/>
      <w:r>
        <w:rPr>
          <w:rFonts w:ascii="Times New Roman" w:hAnsi="Times New Roman" w:cs="Times New Roman"/>
          <w:kern w:val="0"/>
          <w:szCs w:val="21"/>
        </w:rPr>
        <w:t xml:space="preserve">, </w:t>
      </w:r>
      <w:r>
        <w:rPr>
          <w:rFonts w:ascii="Times New Roman" w:hAnsi="Times New Roman" w:cs="Times New Roman"/>
          <w:i/>
          <w:iCs/>
          <w:kern w:val="0"/>
          <w:szCs w:val="21"/>
        </w:rPr>
        <w:t xml:space="preserve">Oncorhynchus </w:t>
      </w:r>
      <w:proofErr w:type="spellStart"/>
      <w:r>
        <w:rPr>
          <w:rFonts w:ascii="Times New Roman" w:hAnsi="Times New Roman" w:cs="Times New Roman"/>
          <w:i/>
          <w:iCs/>
          <w:kern w:val="0"/>
          <w:szCs w:val="21"/>
        </w:rPr>
        <w:t>Mykis</w:t>
      </w:r>
      <w:proofErr w:type="spellEnd"/>
      <w:r>
        <w:rPr>
          <w:rFonts w:ascii="Times New Roman" w:hAnsi="Times New Roman" w:cs="Times New Roman"/>
          <w:kern w:val="0"/>
          <w:szCs w:val="21"/>
        </w:rPr>
        <w:t xml:space="preserve">, and </w:t>
      </w:r>
      <w:proofErr w:type="spellStart"/>
      <w:r>
        <w:rPr>
          <w:rFonts w:ascii="Times New Roman" w:eastAsia="宋体" w:hAnsi="Times New Roman" w:cs="Times New Roman"/>
          <w:i/>
          <w:iCs/>
          <w:kern w:val="0"/>
          <w:szCs w:val="21"/>
        </w:rPr>
        <w:t>Ctenopharyngodon</w:t>
      </w:r>
      <w:proofErr w:type="spellEnd"/>
      <w:r>
        <w:rPr>
          <w:rFonts w:ascii="Times New Roman" w:eastAsia="宋体" w:hAnsi="Times New Roman" w:cs="Times New Roman"/>
          <w:i/>
          <w:iCs/>
          <w:kern w:val="0"/>
          <w:szCs w:val="21"/>
        </w:rPr>
        <w:t xml:space="preserve"> </w:t>
      </w:r>
      <w:r w:rsidR="0020187D">
        <w:rPr>
          <w:rFonts w:ascii="Times New Roman" w:eastAsia="宋体" w:hAnsi="Times New Roman" w:cs="Times New Roman"/>
          <w:i/>
          <w:iCs/>
          <w:kern w:val="0"/>
          <w:szCs w:val="21"/>
        </w:rPr>
        <w:t xml:space="preserve">Idella </w:t>
      </w:r>
      <w:r w:rsidR="007951C7">
        <w:rPr>
          <w:rFonts w:ascii="Times New Roman" w:eastAsia="宋体" w:hAnsi="Times New Roman" w:cs="Times New Roman"/>
          <w:kern w:val="0"/>
          <w:szCs w:val="21"/>
          <w:vertAlign w:val="superscript"/>
        </w:rPr>
        <w:fldChar w:fldCharType="begin" w:fldLock="1"/>
      </w:r>
      <w:r w:rsidR="007951C7">
        <w:rPr>
          <w:rFonts w:ascii="Times New Roman" w:eastAsia="宋体" w:hAnsi="Times New Roman" w:cs="Times New Roman"/>
          <w:kern w:val="0"/>
          <w:szCs w:val="21"/>
          <w:vertAlign w:val="superscript"/>
        </w:rPr>
        <w:instrText>ADDIN CSL_CITATION {"citationItems":[{"id":"ITEM-1","itemData":{"DOI":"10.1007/s00128-003-8676-5","ISBN":"0012800386765","ISSN":"00074861","PMID":"14756290","author":[{"dropping-particle":"","family":"Tilak","given":"K. S.","non-dropping-particle":"","parse-names":false,"suffix":""},{"dropping-particle":"","family":"Veeraiah","given":"K.","non-dropping-particle":"","parse-names":false,"suffix":""},{"dropping-particle":"","family":"Vardhan","given":"K. S.","non-dropping-particle":"","parse-names":false,"suffix":""}],"container-title":"Bulletin of Environmental Contamination and Toxicology","id":"ITEM-1","issue":"6","issued":{"date-parts":[["2003"]]},"page":"1207-1212","title":"Toxicity and Residue Studies of Fenvalerate to the Freshwater Fish Channa punctatus (Bloch)","type":"article-journal","volume":"71"},"uris":["http://www.mendeley.com/documents/?uuid=a3bf7872-5dd3-4129-98cd-c4d55b1774d4"]},{"id":"ITEM-2","itemData":{"DOI":"10.17221/5580-VETMED","ISSN":"03758427","abstract":"The aim of this study was to assess the effect of cypermethrin [(R,S)-a-cyano-3-phenoxybenzyl (1RS)- -cis,tra-3-(2,2-dichlorovinyl)-2,2-dimethyl cyclopropane carboxylate] on rainbow trout (Oncorhynchus mykiss). The effect was assessed on the basis of the results of acute toxicity tests and on the comparison of results of haematological, biochemical and histopathological tissue examinations of a control and experimental group exposed to Alimetrine 10 EM pesticide preparation (active substance 100 g/l of cypermethrin). The acute semistatical toxicity test lasting 96 h was performed on rainbow trout juveniles. The 96hLC50 value of Alimethrine 10 EM was 31.4 μg/l. Examination of erythrocyte, leukocyte and biochemical profile and histopathological tissue examination was performed on 15 control and 15 experimental specimens of one-to-two-year-old rainbow trout after 96 h of exposure to Alimetrine 10 EM in the concentration of 31.4 μg/l. The experimental group showed significantly higher values (P &lt; 0.01) of plasma ammonia (NH3), aspartate aminotransferase (AST), lactate dehydrogenase (LDH), creatine kinase (CK), lactate (LACT) and significantly lower (P &lt; 0.01) values of alkaline phosphatase (ALP) compared to the control group. Also, a significant decrease in count of developmental forms of myeloid sequence, and segmented neutrophile granulocytes in the experimental group were found. Teleangioectasiae of secondary gill lamellae and degeneration of hepatocytes were observed with histopathological examination. No histopathological changes were demonstrated in tissues (skin, spleen, cranial and caudal kidney) of rainbow trout following exposure to cypermethrine. The cypermethrine-based Alimethrinee 10 EM pesticide preparation was classified among substances strongly toxic for fish.","author":[{"dropping-particle":"","family":"Velisek","given":"Josef","non-dropping-particle":"","parse-names":false,"suffix":""},{"dropping-particle":"","family":"Wlasow","given":"T.","non-dropping-particle":"","parse-names":false,"suffix":""},{"dropping-particle":"","family":"Gomulka","given":"P.","non-dropping-particle":"","parse-names":false,"suffix":""},{"dropping-particle":"","family":"Svobodova","given":"Z.","non-dropping-particle":"","parse-names":false,"suffix":""},{"dropping-particle":"","family":"Dobsikova","given":"R.","non-dropping-particle":"","parse-names":false,"suffix":""},{"dropping-particle":"","family":"Novotny","given":"L.","non-dropping-particle":"","parse-names":false,"suffix":""},{"dropping-particle":"","family":"Dudzik","given":"M.","non-dropping-particle":"","parse-names":false,"suffix":""}],"container-title":"Veterinarni Medicina","id":"ITEM-2","issue":"10","issued":{"date-parts":[["2006"]]},"page":"469-476","title":"Effects of cypermethrin on rainbow trout (Oncorhynchus mykiss)","type":"article-journal","volume":"51"},"uris":["http://www.mendeley.com/documents/?uuid=1963553b-0d78-4aea-a829-c26051a12080"]},{"id":"ITEM-3","itemData":{"DOI":"10.1111/j.1742-7843.2007.00157.x","ISSN":"17427835","PMID":"18053029","abstract":"The monosex Nile tilapia, Oreochromis niloticus L., was exposed to subacute concentration (1.46 μg/l) of a pyrethroid insecticide, deltamethrin for 28 consecutive days. Behavioural, clinical, haematological, serum biochemical and histopathological consequences were assayed at a regular interval of 7 days. The abnormal behavioural responses and toxic symptoms were described. Exposure to deltamethrin not only significantly decreased lymphocyte and basophile percentages, total leucocytic and total erythrocytic counts, haemoglobin percentage and packed cell volume value, but also caused serious effects in the form of hypoproteinaemia, hypoalbuminaemia, hypercholesterolaemia, hyperglycaemia and significantly increased serum aspartate aminotransferase, alanine aminotransferase and alkaline phosphatase activities. Moreover, the histopathological results indicated that the haemobiotic organs were affected by deltamethrin, primarily liver and gills. Our data suggest that subacute exposure to deltamethrin exerts a serious metabolic distress on the fish corresponding to the exposure period. In addition, the assayed parameters and histopathological findings can be as good biomarkers of pyrethroid ecosystem pollution. © 2007 The Authors.","author":[{"dropping-particle":"","family":"El-Sayed","given":"Yasser Said","non-dropping-particle":"","parse-names":false,"suffix":""},{"dropping-particle":"","family":"Saad","given":"Talaat Talaat","non-dropping-particle":"","parse-names":false,"suffix":""}],"container-title":"Basic and Clinical Pharmacology and Toxicology","id":"ITEM-3","issue":"3","issued":{"date-parts":[["2007"]]},"page":"293-299","title":"Subacute intoxication of a deltamethrin-based preparation (Butox® 5% EC) in monosex Nile tilapia, Oreochromis niloticus L.","type":"article-journal","volume":"102"},"uris":["http://www.mendeley.com/documents/?uuid=60f95a8b-5f90-4e06-826f-b2bf5f06a625"]}],"mendeley":{"formattedCitation":"(El-Sayed and Saad, 2007; Tilak et al., 2003; Velisek et al., 2006)","plainTextFormattedCitation":"(El-Sayed and Saad, 2007; Tilak et al., 2003; Velisek et al., 2006)","previouslyFormattedCitation":"(El-Sayed and Saad, 2007; Tilak et al., 2003; Velisek et al., 2006)"},"properties":{"noteIndex":0},"schema":"https://github.com/citation-style-language/schema/raw/master/csl-citation.json"}</w:instrText>
      </w:r>
      <w:r w:rsidR="007951C7">
        <w:rPr>
          <w:rFonts w:ascii="Times New Roman" w:eastAsia="宋体" w:hAnsi="Times New Roman" w:cs="Times New Roman"/>
          <w:kern w:val="0"/>
          <w:szCs w:val="21"/>
          <w:vertAlign w:val="superscript"/>
        </w:rPr>
        <w:fldChar w:fldCharType="separate"/>
      </w:r>
      <w:r w:rsidR="007951C7" w:rsidRPr="007951C7">
        <w:rPr>
          <w:rFonts w:ascii="Times New Roman" w:eastAsia="宋体" w:hAnsi="Times New Roman" w:cs="Times New Roman"/>
          <w:noProof/>
          <w:kern w:val="0"/>
          <w:szCs w:val="21"/>
        </w:rPr>
        <w:t>(El-Sayed and Saad, 2007; Tilak et al., 2003; Velisek et al., 2006)</w:t>
      </w:r>
      <w:r w:rsidR="007951C7">
        <w:rPr>
          <w:rFonts w:ascii="Times New Roman" w:eastAsia="宋体" w:hAnsi="Times New Roman" w:cs="Times New Roman"/>
          <w:kern w:val="0"/>
          <w:szCs w:val="21"/>
          <w:vertAlign w:val="superscript"/>
        </w:rPr>
        <w:fldChar w:fldCharType="end"/>
      </w:r>
      <w:r w:rsidRPr="00FC3758">
        <w:rPr>
          <w:rFonts w:ascii="Times New Roman" w:eastAsia="宋体" w:hAnsi="Times New Roman" w:cs="Times New Roman"/>
          <w:kern w:val="0"/>
          <w:szCs w:val="21"/>
        </w:rPr>
        <w:t xml:space="preserve">. </w:t>
      </w:r>
      <w:r>
        <w:rPr>
          <w:rFonts w:ascii="Times New Roman" w:hAnsi="Times New Roman" w:cs="Times New Roman"/>
          <w:kern w:val="0"/>
          <w:szCs w:val="21"/>
        </w:rPr>
        <w:t xml:space="preserve">In this study, we found that </w:t>
      </w:r>
      <w:r>
        <w:rPr>
          <w:rFonts w:ascii="Times New Roman" w:eastAsia="宋体" w:hAnsi="Times New Roman" w:cs="Times New Roman"/>
          <w:kern w:val="0"/>
          <w:szCs w:val="21"/>
        </w:rPr>
        <w:t xml:space="preserve">the liver tissues of CGS larvae exposed to BF </w:t>
      </w:r>
      <w:r>
        <w:rPr>
          <w:rFonts w:ascii="Times New Roman" w:hAnsi="Times New Roman" w:cs="Times New Roman"/>
          <w:kern w:val="0"/>
          <w:szCs w:val="21"/>
        </w:rPr>
        <w:t>exhibited pathological damage</w:t>
      </w:r>
      <w:r w:rsidR="00834DFF">
        <w:rPr>
          <w:rFonts w:ascii="Times New Roman" w:hAnsi="Times New Roman" w:cs="Times New Roman"/>
          <w:kern w:val="0"/>
          <w:szCs w:val="21"/>
        </w:rPr>
        <w:t xml:space="preserve">, </w:t>
      </w:r>
      <w:r>
        <w:rPr>
          <w:rFonts w:ascii="Times New Roman" w:hAnsi="Times New Roman" w:cs="Times New Roman"/>
          <w:kern w:val="0"/>
          <w:szCs w:val="21"/>
        </w:rPr>
        <w:t>low BF lead</w:t>
      </w:r>
      <w:r w:rsidR="00A03A94">
        <w:rPr>
          <w:rFonts w:ascii="Times New Roman" w:hAnsi="Times New Roman" w:cs="Times New Roman"/>
          <w:kern w:val="0"/>
          <w:szCs w:val="21"/>
        </w:rPr>
        <w:t>ed</w:t>
      </w:r>
      <w:r>
        <w:rPr>
          <w:rFonts w:ascii="Times New Roman" w:hAnsi="Times New Roman" w:cs="Times New Roman"/>
          <w:kern w:val="0"/>
          <w:szCs w:val="21"/>
        </w:rPr>
        <w:t xml:space="preserve"> to cell vacuolation, nuclear atrophy</w:t>
      </w:r>
      <w:r>
        <w:rPr>
          <w:rFonts w:ascii="Times New Roman" w:hAnsi="Times New Roman" w:cs="Times New Roman" w:hint="eastAsia"/>
          <w:kern w:val="0"/>
          <w:szCs w:val="21"/>
        </w:rPr>
        <w:t xml:space="preserve"> </w:t>
      </w:r>
      <w:r>
        <w:rPr>
          <w:rFonts w:ascii="Times New Roman" w:eastAsia="宋体" w:hAnsi="Times New Roman" w:cs="Times New Roman" w:hint="eastAsia"/>
          <w:kern w:val="0"/>
          <w:szCs w:val="21"/>
        </w:rPr>
        <w:t>a</w:t>
      </w:r>
      <w:r>
        <w:rPr>
          <w:rFonts w:ascii="Times New Roman" w:eastAsia="宋体" w:hAnsi="Times New Roman" w:cs="Times New Roman"/>
          <w:kern w:val="0"/>
          <w:szCs w:val="21"/>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a shift in liver tissues</w:t>
      </w:r>
      <w:r w:rsidR="00834DFF">
        <w:rPr>
          <w:rFonts w:ascii="Times New Roman" w:eastAsia="宋体" w:hAnsi="Times New Roman" w:cs="Times New Roman"/>
          <w:kern w:val="0"/>
          <w:szCs w:val="21"/>
        </w:rPr>
        <w:t>, and</w:t>
      </w:r>
      <w:r>
        <w:rPr>
          <w:rFonts w:ascii="Times New Roman" w:hAnsi="Times New Roman" w:cs="Times New Roman"/>
          <w:kern w:val="0"/>
          <w:szCs w:val="21"/>
        </w:rPr>
        <w:t xml:space="preserve"> high BF can cause severe liver inflammation. Transcriptome analysis showed that the B-cell receptor signaling pathway was significantly enriched </w:t>
      </w:r>
      <w:r w:rsidR="002E5E7D">
        <w:rPr>
          <w:rFonts w:ascii="Times New Roman" w:hAnsi="Times New Roman" w:cs="Times New Roman"/>
          <w:kern w:val="0"/>
          <w:szCs w:val="21"/>
        </w:rPr>
        <w:t>induce by</w:t>
      </w:r>
      <w:r>
        <w:rPr>
          <w:rFonts w:ascii="Times New Roman" w:hAnsi="Times New Roman" w:cs="Times New Roman"/>
          <w:kern w:val="0"/>
          <w:szCs w:val="21"/>
        </w:rPr>
        <w:t xml:space="preserve"> low </w:t>
      </w:r>
      <w:r>
        <w:rPr>
          <w:rFonts w:ascii="Times New Roman" w:eastAsia="宋体" w:hAnsi="Times New Roman" w:cs="Times New Roman"/>
          <w:kern w:val="0"/>
          <w:szCs w:val="21"/>
        </w:rPr>
        <w:t>BF</w:t>
      </w:r>
      <w:r>
        <w:rPr>
          <w:rFonts w:ascii="Times New Roman" w:hAnsi="Times New Roman" w:cs="Times New Roman"/>
          <w:kern w:val="0"/>
          <w:szCs w:val="21"/>
        </w:rPr>
        <w:t xml:space="preserve"> </w:t>
      </w:r>
      <w:r w:rsidR="002E5E7D">
        <w:rPr>
          <w:rFonts w:ascii="Times New Roman" w:hAnsi="Times New Roman" w:cs="Times New Roman"/>
          <w:kern w:val="0"/>
          <w:szCs w:val="21"/>
        </w:rPr>
        <w:t>exposure</w:t>
      </w:r>
      <w:r>
        <w:rPr>
          <w:rFonts w:ascii="Times New Roman" w:hAnsi="Times New Roman" w:cs="Times New Roman"/>
          <w:kern w:val="0"/>
          <w:szCs w:val="21"/>
        </w:rPr>
        <w:t>, which affected cell metabolism, gene expression</w:t>
      </w:r>
      <w:r>
        <w:rPr>
          <w:rFonts w:ascii="Times New Roman" w:eastAsia="宋体" w:hAnsi="Times New Roman" w:cs="Times New Roman"/>
          <w:kern w:val="0"/>
          <w:szCs w:val="21"/>
        </w:rPr>
        <w:t>, and cytoskeletal structure</w:t>
      </w:r>
      <w:r w:rsidR="0020187D">
        <w:rPr>
          <w:rFonts w:ascii="Times New Roman" w:eastAsia="宋体" w:hAnsi="Times New Roman" w:cs="Times New Roman"/>
          <w:kern w:val="0"/>
          <w:szCs w:val="21"/>
        </w:rPr>
        <w:t xml:space="preserve"> </w:t>
      </w:r>
      <w:r w:rsidR="007951C7">
        <w:rPr>
          <w:rFonts w:ascii="Times New Roman" w:eastAsia="宋体" w:hAnsi="Times New Roman" w:cs="Times New Roman"/>
          <w:kern w:val="0"/>
          <w:szCs w:val="21"/>
          <w:vertAlign w:val="superscript"/>
        </w:rPr>
        <w:fldChar w:fldCharType="begin" w:fldLock="1"/>
      </w:r>
      <w:r w:rsidR="00105E1A">
        <w:rPr>
          <w:rFonts w:ascii="Times New Roman" w:eastAsia="宋体" w:hAnsi="Times New Roman" w:cs="Times New Roman"/>
          <w:kern w:val="0"/>
          <w:szCs w:val="21"/>
          <w:vertAlign w:val="superscript"/>
        </w:rPr>
        <w:instrText xml:space="preserve">ADDIN CSL_CITATION {"citationItems":[{"id":"ITEM-1","itemData":{"DOI":"10.1146/annurev.immunol.021908.132541","ISSN":"07320582","PMID":"19827951","abstract":"Antigen receptors on the surface of B lymphocytes trigger adaptive immune responses after encountering their cognate antigens but also control a series of antigen-independent checkpoints during B cell development. These physiological processes are regulated by the expression and function of cell surface receptors, intracellular signaling molecules, and transcription factors. The function of these proteins can be altered by a dynamic array of post-translational modifications, using two interconnected mechanisms. These modifications can directly induce an altered conformational state in the protein target of the modification itself. In addition, they can create new binding sites for other protein partners, thereby contributing to where and when such multiple protein assemblies are activated within cells. As a new type of post-transcriptional regulator, microRNAs have emerged to luence the development and function of B cells by affecting the expression of target mRNAs. Copyright © 2010 by Annual Reviews. All rights reserved.","author":[{"dropping-particle":"","family":"Kurosaki","given":"Tomohiro","non-dropping-particle":"","parse-names":false,"suffix":""},{"dropping-particle":"","family":"Shinohara","given":"Hisaaki","non-dropping-particle":"","parse-names":false,"suffix":""},{"dropping-particle":"","family":"Baba","given":"Yoshihiro","non-dropping-particle":"","parse-names":false,"suffix":""}],"container-title":"Annual Review of Immunology","id":"ITEM-1","issued":{"date-parts":[["2010"]]},"page":"21-55","title":"B cell signaling and fate decision","type":"article-journal","volume":"28"},"uris":["http://www.mendeley.com/documents/?uuid=168898d2-688f-4437-89f9-7f3c6dff14e8"]},{"id":"ITEM-2","itemData":{"DOI":"10.1016/j.immuni.2008.04.007","ISSN":"10747613","PMID":"18482567","abstract":"The appropriate activation of B cells is critical for the development and operation of immune responses and is dependent on the extensive coordination of intra- and intercellular communications in response to antigen stimulation. An accurate description of the B cell-activation process requires investigation of these interactions within their correct cellular context both at high resolution and in real time. Here, we discuss a number of recent studies that have offered insight into the early molecular events of B cell activation. We suggest that segregation within the B cell membrane triggers localized cytoskeleton reorganisation and signaling, allowing the formation of B cell receptor (BCR) microclusters. These BCR microclusters are the sites for the coordinated recruitment of the signalosome and are propagated during B cell spreading. We discuss the recent identification of a critical role for CD19 in the B cell response to membrane-bound antigen and suggest a mechanism involving BCR microclusters by which it mediates its stimulatory function. Finally, we consider research that has taken advantage of recent technological advances in multiphoton microscopy that have allowed its application to the investigation of the dynamics of membrane-bound antigen presentation and subsequent B cell activation in lymph nodes in vivo. </w:instrText>
      </w:r>
      <w:r w:rsidR="00105E1A">
        <w:rPr>
          <w:rFonts w:ascii="Times New Roman" w:eastAsia="宋体" w:hAnsi="Times New Roman" w:cs="Times New Roman" w:hint="eastAsia"/>
          <w:kern w:val="0"/>
          <w:szCs w:val="21"/>
          <w:vertAlign w:val="superscript"/>
        </w:rPr>
        <w:instrText>©</w:instrText>
      </w:r>
      <w:r w:rsidR="00105E1A">
        <w:rPr>
          <w:rFonts w:ascii="Times New Roman" w:eastAsia="宋体" w:hAnsi="Times New Roman" w:cs="Times New Roman"/>
          <w:kern w:val="0"/>
          <w:szCs w:val="21"/>
          <w:vertAlign w:val="superscript"/>
        </w:rPr>
        <w:instrText xml:space="preserve"> 2008 Elsevier Inc. All rights reserved.","author":[{"dropping-particle":"","family":"Harwood","given":"Naomi E.","non-dropping-particle":"","parse-names":false,"suffix":""},{"dropping-particle":"","family":"Batista","given":"Facundo D.","non-dropping-particle":"","parse-names":false,"suffix":""}],"container-title":"Immunity","id":"ITEM-2","issue":"5","issued":{"date-parts":[["2008"]]},"page":"609-619","title":"New Insights into the Early Molecular Events Underlying B Cell Activation","type":"article-journal","volume":"28"},"uris":["http://www.mendeley.com/documents/?uuid=bf2cbd8c-c6df-4877-b8ca-165665fae196"]}],"mendeley":{"formattedCitation":"(Harwood and Batista, 2008; Kurosaki et al., 2010)","plainTextFormattedCitation":"(Harwood and Batista, 2008; Kurosaki et al., 2010)","previouslyFormattedCitation":"(Harwood and Batista, 2008; Kurosaki et al., 2010)"},"properties":{"noteIndex":0},"schema":"https://github.com/citation-style-language/schema/raw/master/csl-citation.json"}</w:instrText>
      </w:r>
      <w:r w:rsidR="007951C7">
        <w:rPr>
          <w:rFonts w:ascii="Times New Roman" w:eastAsia="宋体" w:hAnsi="Times New Roman" w:cs="Times New Roman"/>
          <w:kern w:val="0"/>
          <w:szCs w:val="21"/>
          <w:vertAlign w:val="superscript"/>
        </w:rPr>
        <w:fldChar w:fldCharType="separate"/>
      </w:r>
      <w:r w:rsidR="007951C7" w:rsidRPr="007951C7">
        <w:rPr>
          <w:rFonts w:ascii="Times New Roman" w:eastAsia="宋体" w:hAnsi="Times New Roman" w:cs="Times New Roman"/>
          <w:noProof/>
          <w:kern w:val="0"/>
          <w:szCs w:val="21"/>
        </w:rPr>
        <w:t>(Harwood and Batista, 2008; Kurosaki et al., 2010)</w:t>
      </w:r>
      <w:r w:rsidR="007951C7">
        <w:rPr>
          <w:rFonts w:ascii="Times New Roman" w:eastAsia="宋体" w:hAnsi="Times New Roman" w:cs="Times New Roman"/>
          <w:kern w:val="0"/>
          <w:szCs w:val="21"/>
          <w:vertAlign w:val="superscript"/>
        </w:rPr>
        <w:fldChar w:fldCharType="end"/>
      </w:r>
      <w:r>
        <w:rPr>
          <w:rFonts w:ascii="Times New Roman" w:eastAsia="宋体" w:hAnsi="Times New Roman" w:cs="Times New Roman"/>
          <w:kern w:val="0"/>
          <w:szCs w:val="21"/>
        </w:rPr>
        <w:t>. This ma</w:t>
      </w:r>
      <w:r w:rsidRPr="0083523B">
        <w:rPr>
          <w:rFonts w:ascii="Times New Roman" w:hAnsi="Times New Roman" w:cs="Times New Roman"/>
          <w:kern w:val="0"/>
          <w:szCs w:val="21"/>
        </w:rPr>
        <w:t>y</w:t>
      </w:r>
      <w:r w:rsidR="00DB7C76" w:rsidRPr="0083523B">
        <w:rPr>
          <w:rFonts w:ascii="Times New Roman" w:hAnsi="Times New Roman" w:cs="Times New Roman"/>
          <w:kern w:val="0"/>
          <w:szCs w:val="21"/>
        </w:rPr>
        <w:t xml:space="preserve"> be the influencing factor of liver tissue</w:t>
      </w:r>
      <w:r w:rsidR="00DB7C76">
        <w:rPr>
          <w:rFonts w:ascii="Times New Roman" w:hAnsi="Times New Roman" w:cs="Times New Roman"/>
          <w:kern w:val="0"/>
          <w:szCs w:val="21"/>
        </w:rPr>
        <w:t xml:space="preserve"> appearing</w:t>
      </w:r>
      <w:r>
        <w:rPr>
          <w:rFonts w:ascii="Times New Roman" w:hAnsi="Times New Roman" w:cs="Times New Roman"/>
          <w:kern w:val="0"/>
          <w:szCs w:val="21"/>
        </w:rPr>
        <w:t xml:space="preserve"> vacuolation, nuclear shift</w:t>
      </w:r>
      <w:r w:rsidRPr="0083523B">
        <w:rPr>
          <w:rFonts w:ascii="Times New Roman" w:hAnsi="Times New Roman" w:cs="Times New Roman"/>
          <w:kern w:val="0"/>
          <w:szCs w:val="21"/>
        </w:rPr>
        <w:t xml:space="preserve">, and </w:t>
      </w:r>
      <w:r w:rsidR="00DB7C76">
        <w:rPr>
          <w:rFonts w:ascii="Times New Roman" w:hAnsi="Times New Roman" w:cs="Times New Roman"/>
          <w:kern w:val="0"/>
          <w:szCs w:val="21"/>
        </w:rPr>
        <w:t xml:space="preserve">even </w:t>
      </w:r>
      <w:r>
        <w:rPr>
          <w:rFonts w:ascii="Times New Roman" w:hAnsi="Times New Roman" w:cs="Times New Roman"/>
          <w:kern w:val="0"/>
          <w:szCs w:val="21"/>
        </w:rPr>
        <w:t xml:space="preserve">atrophy. BF exposure resulted in the significant upregulation of genes involved in </w:t>
      </w:r>
      <w:r>
        <w:rPr>
          <w:rFonts w:ascii="Times New Roman" w:hAnsi="Times New Roman" w:cs="Times New Roman"/>
          <w:kern w:val="0"/>
          <w:szCs w:val="21"/>
        </w:rPr>
        <w:lastRenderedPageBreak/>
        <w:t>immune system process</w:t>
      </w:r>
      <w:r>
        <w:rPr>
          <w:rFonts w:ascii="Times New Roman" w:eastAsia="宋体" w:hAnsi="Times New Roman" w:cs="Times New Roman"/>
          <w:kern w:val="0"/>
          <w:szCs w:val="21"/>
        </w:rPr>
        <w:t>es</w:t>
      </w:r>
      <w:r>
        <w:rPr>
          <w:rFonts w:ascii="Times New Roman" w:hAnsi="Times New Roman" w:cs="Times New Roman"/>
          <w:kern w:val="0"/>
          <w:szCs w:val="21"/>
        </w:rPr>
        <w:t xml:space="preserve"> and signaling</w:t>
      </w:r>
      <w:r w:rsidR="00DB7C76">
        <w:rPr>
          <w:rFonts w:ascii="Times New Roman" w:hAnsi="Times New Roman" w:cs="Times New Roman"/>
          <w:kern w:val="0"/>
          <w:szCs w:val="21"/>
        </w:rPr>
        <w:t>,</w:t>
      </w:r>
      <w:r>
        <w:rPr>
          <w:rFonts w:ascii="Times New Roman" w:hAnsi="Times New Roman" w:cs="Times New Roman"/>
          <w:kern w:val="0"/>
          <w:szCs w:val="21"/>
        </w:rPr>
        <w:t xml:space="preserve"> </w:t>
      </w:r>
      <w:r w:rsidR="00BF38FA">
        <w:rPr>
          <w:rFonts w:ascii="Times New Roman" w:hAnsi="Times New Roman" w:cs="Times New Roman"/>
          <w:kern w:val="0"/>
          <w:szCs w:val="21"/>
        </w:rPr>
        <w:t xml:space="preserve">with </w:t>
      </w:r>
      <w:r>
        <w:rPr>
          <w:rFonts w:ascii="Times New Roman" w:hAnsi="Times New Roman" w:cs="Times New Roman"/>
          <w:kern w:val="0"/>
          <w:szCs w:val="21"/>
        </w:rPr>
        <w:t xml:space="preserve">the significant enrichment </w:t>
      </w:r>
      <w:r w:rsidR="00BF38FA">
        <w:rPr>
          <w:rFonts w:ascii="Times New Roman" w:hAnsi="Times New Roman" w:cs="Times New Roman"/>
          <w:kern w:val="0"/>
          <w:szCs w:val="21"/>
        </w:rPr>
        <w:t xml:space="preserve">appeared in </w:t>
      </w:r>
      <w:r>
        <w:rPr>
          <w:rFonts w:ascii="Times New Roman" w:hAnsi="Times New Roman" w:cs="Times New Roman"/>
          <w:kern w:val="0"/>
          <w:szCs w:val="21"/>
        </w:rPr>
        <w:t>the PPAR</w:t>
      </w:r>
      <w:r w:rsidR="006C6DBF">
        <w:rPr>
          <w:rFonts w:ascii="Times New Roman" w:hAnsi="Times New Roman" w:cs="Times New Roman"/>
          <w:kern w:val="0"/>
          <w:szCs w:val="21"/>
        </w:rPr>
        <w:t xml:space="preserve"> </w:t>
      </w:r>
      <w:r>
        <w:rPr>
          <w:rFonts w:ascii="Times New Roman" w:hAnsi="Times New Roman" w:cs="Times New Roman"/>
          <w:kern w:val="0"/>
          <w:szCs w:val="21"/>
        </w:rPr>
        <w:t>and NF-kB signaling pathway</w:t>
      </w:r>
      <w:r>
        <w:rPr>
          <w:rFonts w:ascii="Times New Roman" w:eastAsia="宋体" w:hAnsi="Times New Roman" w:cs="Times New Roman"/>
          <w:kern w:val="0"/>
          <w:szCs w:val="21"/>
        </w:rPr>
        <w:t>s.</w:t>
      </w:r>
      <w:r w:rsidR="006E0281">
        <w:rPr>
          <w:rFonts w:ascii="Times New Roman" w:eastAsia="宋体" w:hAnsi="Times New Roman" w:cs="Times New Roman"/>
          <w:kern w:val="0"/>
          <w:szCs w:val="21"/>
        </w:rPr>
        <w:t xml:space="preserve"> </w:t>
      </w:r>
      <w:r>
        <w:rPr>
          <w:rFonts w:ascii="Times New Roman" w:eastAsia="宋体" w:hAnsi="Times New Roman" w:cs="Times New Roman"/>
          <w:kern w:val="0"/>
          <w:szCs w:val="21"/>
        </w:rPr>
        <w:t xml:space="preserve">The PARP-1/PPARα/SIRT1 pathway can induce liver inflammation by activating NF-kB </w:t>
      </w:r>
      <w:r w:rsidR="00F70EBD" w:rsidRPr="002738C8">
        <w:rPr>
          <w:rFonts w:ascii="Times New Roman" w:eastAsia="宋体" w:hAnsi="Times New Roman" w:cs="Times New Roman"/>
          <w:kern w:val="0"/>
          <w:szCs w:val="21"/>
        </w:rPr>
        <w:t>signaling pathway</w:t>
      </w:r>
      <w:r w:rsidR="00F70EBD">
        <w:rPr>
          <w:rFonts w:ascii="Times New Roman" w:eastAsia="宋体" w:hAnsi="Times New Roman" w:cs="Times New Roman"/>
          <w:kern w:val="0"/>
          <w:szCs w:val="21"/>
        </w:rPr>
        <w:t xml:space="preserve"> </w:t>
      </w:r>
      <w:r>
        <w:rPr>
          <w:rFonts w:ascii="Times New Roman" w:eastAsia="宋体" w:hAnsi="Times New Roman" w:cs="Times New Roman"/>
          <w:kern w:val="0"/>
          <w:szCs w:val="21"/>
        </w:rPr>
        <w:t>or cooperating with NF-kB</w:t>
      </w:r>
      <w:r w:rsidR="00F70EBD">
        <w:rPr>
          <w:rFonts w:ascii="Times New Roman" w:eastAsia="宋体" w:hAnsi="Times New Roman" w:cs="Times New Roman"/>
          <w:kern w:val="0"/>
          <w:szCs w:val="21"/>
        </w:rPr>
        <w:t xml:space="preserve"> </w:t>
      </w:r>
      <w:r w:rsidR="00F70EBD" w:rsidRPr="002738C8">
        <w:rPr>
          <w:rFonts w:ascii="Times New Roman" w:eastAsia="宋体" w:hAnsi="Times New Roman" w:cs="Times New Roman"/>
          <w:kern w:val="0"/>
          <w:szCs w:val="21"/>
        </w:rPr>
        <w:t>signaling pathway</w:t>
      </w:r>
      <w:r w:rsidR="0020187D">
        <w:rPr>
          <w:rFonts w:ascii="Times New Roman" w:eastAsia="宋体" w:hAnsi="Times New Roman" w:cs="Times New Roman"/>
          <w:kern w:val="0"/>
          <w:szCs w:val="21"/>
        </w:rPr>
        <w:t xml:space="preserve"> </w:t>
      </w:r>
      <w:r w:rsidR="00105E1A">
        <w:rPr>
          <w:rFonts w:ascii="Times New Roman" w:eastAsia="宋体" w:hAnsi="Times New Roman" w:cs="Times New Roman"/>
          <w:kern w:val="0"/>
          <w:szCs w:val="21"/>
          <w:vertAlign w:val="superscript"/>
        </w:rPr>
        <w:fldChar w:fldCharType="begin" w:fldLock="1"/>
      </w:r>
      <w:r w:rsidR="00105E1A">
        <w:rPr>
          <w:rFonts w:ascii="Times New Roman" w:eastAsia="宋体" w:hAnsi="Times New Roman" w:cs="Times New Roman"/>
          <w:kern w:val="0"/>
          <w:szCs w:val="21"/>
          <w:vertAlign w:val="superscript"/>
        </w:rPr>
        <w:instrText>ADDIN CSL_CITATION {"citationItems":[{"id":"ITEM-1","itemData":{"author":[{"dropping-particle":"","family":"Du","given":"Jie","non-dropping-particle":"","parse-names":false,"suffix":""},{"dropping-particle":"","family":"Zhao","given":"Meirong","non-dropping-particle":"","parse-names":false,"suffix":""},{"dropping-particle":"","family":"Li","given":"Jing","non-dropping-particle":"","parse-names":false,"suffix":""}],"container-title":"International Journal of Geology, Agriculture and Environmental Sciences","id":"ITEM-1","issue":"October","issued":{"date-parts":[["2015"]]},"page":"21-28","title":"Determination of water quality criteria for three synthetic pyrethroids for the protection of aquatic life","type":"article-journal","volume":"3"},"uris":["http://www.mendeley.com/documents/?uuid=24d5402a-6b63-41ac-843a-78b02e13c4ba"]}],"mendeley":{"formattedCitation":"(Du et al., 2015)","plainTextFormattedCitation":"(Du et al., 2015)","previouslyFormattedCitation":"(Du et al., 2015)"},"properties":{"noteIndex":0},"schema":"https://github.com/citation-style-language/schema/raw/master/csl-citation.json"}</w:instrText>
      </w:r>
      <w:r w:rsidR="00105E1A">
        <w:rPr>
          <w:rFonts w:ascii="Times New Roman" w:eastAsia="宋体" w:hAnsi="Times New Roman" w:cs="Times New Roman"/>
          <w:kern w:val="0"/>
          <w:szCs w:val="21"/>
          <w:vertAlign w:val="superscript"/>
        </w:rPr>
        <w:fldChar w:fldCharType="separate"/>
      </w:r>
      <w:r w:rsidR="00105E1A" w:rsidRPr="00105E1A">
        <w:rPr>
          <w:rFonts w:ascii="Times New Roman" w:eastAsia="宋体" w:hAnsi="Times New Roman" w:cs="Times New Roman"/>
          <w:noProof/>
          <w:kern w:val="0"/>
          <w:szCs w:val="21"/>
        </w:rPr>
        <w:t>(Du et al., 2015)</w:t>
      </w:r>
      <w:r w:rsidR="00105E1A">
        <w:rPr>
          <w:rFonts w:ascii="Times New Roman" w:eastAsia="宋体" w:hAnsi="Times New Roman" w:cs="Times New Roman"/>
          <w:kern w:val="0"/>
          <w:szCs w:val="21"/>
          <w:vertAlign w:val="superscript"/>
        </w:rPr>
        <w:fldChar w:fldCharType="end"/>
      </w:r>
      <w:r>
        <w:rPr>
          <w:rFonts w:ascii="Times New Roman" w:eastAsia="宋体" w:hAnsi="Times New Roman" w:cs="Times New Roman"/>
          <w:kern w:val="0"/>
          <w:szCs w:val="21"/>
        </w:rPr>
        <w:t xml:space="preserve">. </w:t>
      </w:r>
      <w:r w:rsidR="00006F23" w:rsidRPr="0083523B">
        <w:rPr>
          <w:rFonts w:ascii="Times New Roman" w:eastAsia="宋体" w:hAnsi="Times New Roman" w:cs="Times New Roman"/>
          <w:kern w:val="0"/>
          <w:szCs w:val="21"/>
        </w:rPr>
        <w:t>It is speculated that</w:t>
      </w:r>
      <w:r w:rsidR="0039368F">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the highly inflammatory response exhibited by CGS larvae may </w:t>
      </w:r>
      <w:r w:rsidR="004B73E0">
        <w:rPr>
          <w:rFonts w:ascii="Times New Roman" w:eastAsia="宋体" w:hAnsi="Times New Roman" w:cs="Times New Roman"/>
          <w:kern w:val="0"/>
          <w:szCs w:val="21"/>
        </w:rPr>
        <w:t xml:space="preserve">be </w:t>
      </w:r>
      <w:r>
        <w:rPr>
          <w:rFonts w:ascii="Times New Roman" w:eastAsia="宋体" w:hAnsi="Times New Roman" w:cs="Times New Roman"/>
          <w:kern w:val="0"/>
          <w:szCs w:val="21"/>
        </w:rPr>
        <w:t>due</w:t>
      </w:r>
      <w:r w:rsidRPr="0083523B">
        <w:rPr>
          <w:rFonts w:ascii="Times New Roman" w:eastAsia="宋体" w:hAnsi="Times New Roman" w:cs="Times New Roman"/>
          <w:kern w:val="0"/>
          <w:szCs w:val="21"/>
        </w:rPr>
        <w:t xml:space="preserve"> to th</w:t>
      </w:r>
      <w:r>
        <w:rPr>
          <w:rFonts w:ascii="Times New Roman" w:hAnsi="Times New Roman" w:cs="Times New Roman"/>
          <w:kern w:val="0"/>
          <w:szCs w:val="21"/>
        </w:rPr>
        <w:t>e combined action of the PPAR and NF-kB signaling pathways. The severe histological lesions observed in the liver</w:t>
      </w:r>
      <w:r w:rsidR="00DB7C76">
        <w:rPr>
          <w:rFonts w:ascii="Times New Roman" w:hAnsi="Times New Roman" w:cs="Times New Roman"/>
          <w:kern w:val="0"/>
          <w:szCs w:val="21"/>
        </w:rPr>
        <w:t xml:space="preserve"> of CGS larvae</w:t>
      </w:r>
      <w:r>
        <w:rPr>
          <w:rFonts w:ascii="Times New Roman" w:hAnsi="Times New Roman" w:cs="Times New Roman"/>
          <w:kern w:val="0"/>
          <w:szCs w:val="21"/>
        </w:rPr>
        <w:t xml:space="preserve"> may related to the </w:t>
      </w:r>
      <w:r w:rsidR="00DB7C76">
        <w:rPr>
          <w:rFonts w:ascii="Times New Roman" w:hAnsi="Times New Roman" w:cs="Times New Roman"/>
          <w:kern w:val="0"/>
          <w:szCs w:val="21"/>
        </w:rPr>
        <w:t xml:space="preserve">high </w:t>
      </w:r>
      <w:r>
        <w:rPr>
          <w:rFonts w:ascii="Times New Roman" w:hAnsi="Times New Roman" w:cs="Times New Roman"/>
          <w:kern w:val="0"/>
          <w:szCs w:val="21"/>
        </w:rPr>
        <w:t>production of ROS</w:t>
      </w:r>
      <w:r w:rsidR="00DB7C76">
        <w:rPr>
          <w:rFonts w:ascii="Times New Roman" w:hAnsi="Times New Roman" w:cs="Times New Roman"/>
          <w:kern w:val="0"/>
          <w:szCs w:val="21"/>
        </w:rPr>
        <w:t xml:space="preserve"> against to</w:t>
      </w:r>
      <w:r>
        <w:rPr>
          <w:rFonts w:ascii="Times New Roman" w:hAnsi="Times New Roman" w:cs="Times New Roman"/>
          <w:kern w:val="0"/>
          <w:szCs w:val="21"/>
        </w:rPr>
        <w:t xml:space="preserve"> BF exposure, which are known to cause oxidative damage to </w:t>
      </w:r>
      <w:r w:rsidR="00DB7C76">
        <w:rPr>
          <w:rFonts w:ascii="Times New Roman" w:hAnsi="Times New Roman" w:cs="Times New Roman"/>
          <w:kern w:val="0"/>
          <w:szCs w:val="21"/>
        </w:rPr>
        <w:t>organism</w:t>
      </w:r>
      <w:r>
        <w:rPr>
          <w:rFonts w:ascii="Times New Roman" w:hAnsi="Times New Roman" w:cs="Times New Roman"/>
          <w:kern w:val="0"/>
          <w:szCs w:val="21"/>
        </w:rPr>
        <w:t xml:space="preserve"> and chronic toxicity.</w:t>
      </w:r>
    </w:p>
    <w:p w14:paraId="2909410C" w14:textId="77777777" w:rsidR="00950088" w:rsidRDefault="00000000" w:rsidP="0083523B">
      <w:pPr>
        <w:pStyle w:val="af"/>
        <w:numPr>
          <w:ilvl w:val="0"/>
          <w:numId w:val="1"/>
        </w:numPr>
        <w:tabs>
          <w:tab w:val="left" w:pos="284"/>
        </w:tabs>
        <w:suppressAutoHyphens/>
        <w:spacing w:line="360" w:lineRule="auto"/>
        <w:ind w:left="0" w:firstLineChars="0" w:firstLine="0"/>
        <w:rPr>
          <w:rFonts w:ascii="Times New Roman" w:hAnsi="Times New Roman" w:cs="Times New Roman"/>
          <w:b/>
          <w:bCs/>
          <w:kern w:val="0"/>
          <w:szCs w:val="21"/>
        </w:rPr>
      </w:pPr>
      <w:r>
        <w:rPr>
          <w:rFonts w:ascii="Times New Roman" w:hAnsi="Times New Roman" w:cs="Times New Roman"/>
          <w:b/>
          <w:bCs/>
          <w:kern w:val="0"/>
          <w:szCs w:val="21"/>
        </w:rPr>
        <w:t>Conclusions</w:t>
      </w:r>
    </w:p>
    <w:p w14:paraId="041AFC61" w14:textId="494591F1" w:rsidR="00950088" w:rsidRDefault="00000000" w:rsidP="00F7090A">
      <w:pPr>
        <w:spacing w:line="360" w:lineRule="auto"/>
        <w:ind w:firstLineChars="200" w:firstLine="420"/>
        <w:rPr>
          <w:rFonts w:ascii="Times New Roman" w:hAnsi="Times New Roman" w:cs="Times New Roman"/>
          <w:kern w:val="0"/>
          <w:szCs w:val="21"/>
          <w:lang w:bidi="ar"/>
        </w:rPr>
      </w:pPr>
      <w:r>
        <w:rPr>
          <w:rFonts w:ascii="Times New Roman" w:hAnsi="Times New Roman" w:cs="Times New Roman"/>
          <w:kern w:val="0"/>
          <w:szCs w:val="21"/>
        </w:rPr>
        <w:t>In conclusion, this</w:t>
      </w:r>
      <w:r w:rsidR="002D308B">
        <w:rPr>
          <w:rFonts w:ascii="Times New Roman" w:hAnsi="Times New Roman" w:cs="Times New Roman"/>
          <w:kern w:val="0"/>
          <w:szCs w:val="21"/>
        </w:rPr>
        <w:t xml:space="preserve"> present</w:t>
      </w:r>
      <w:r>
        <w:rPr>
          <w:rFonts w:ascii="Times New Roman" w:hAnsi="Times New Roman" w:cs="Times New Roman"/>
          <w:kern w:val="0"/>
          <w:szCs w:val="21"/>
        </w:rPr>
        <w:t xml:space="preserve"> study demonstrates that BF induces free radical production in CGS surpassing the capacity of the self-defense system. This </w:t>
      </w:r>
      <w:r w:rsidR="002D308B">
        <w:rPr>
          <w:rFonts w:ascii="Times New Roman" w:hAnsi="Times New Roman" w:cs="Times New Roman"/>
          <w:kern w:val="0"/>
          <w:szCs w:val="21"/>
        </w:rPr>
        <w:t xml:space="preserve">induces </w:t>
      </w:r>
      <w:r>
        <w:rPr>
          <w:rFonts w:ascii="Times New Roman" w:hAnsi="Times New Roman" w:cs="Times New Roman"/>
          <w:kern w:val="0"/>
          <w:szCs w:val="21"/>
        </w:rPr>
        <w:t>to the significant upregulation of molecular function genes associated with catalytic activity</w:t>
      </w:r>
      <w:r w:rsidR="00917343">
        <w:rPr>
          <w:rFonts w:ascii="Times New Roman" w:hAnsi="Times New Roman" w:cs="Times New Roman" w:hint="eastAsia"/>
          <w:kern w:val="0"/>
          <w:szCs w:val="21"/>
        </w:rPr>
        <w:t>,</w:t>
      </w:r>
      <w:r>
        <w:rPr>
          <w:rFonts w:ascii="Times New Roman" w:hAnsi="Times New Roman" w:cs="Times New Roman"/>
          <w:kern w:val="0"/>
          <w:szCs w:val="21"/>
        </w:rPr>
        <w:t xml:space="preserve"> ATP-dependent activity, metabolic processes, signaling and immune system processes, behavior and detoxification. Consequently</w:t>
      </w:r>
      <w:r w:rsidR="004B73E0">
        <w:rPr>
          <w:rFonts w:ascii="Times New Roman" w:hAnsi="Times New Roman" w:cs="Times New Roman"/>
          <w:kern w:val="0"/>
          <w:szCs w:val="21"/>
        </w:rPr>
        <w:t>,</w:t>
      </w:r>
      <w:r w:rsidR="00B32623">
        <w:rPr>
          <w:rFonts w:ascii="Times New Roman" w:hAnsi="Times New Roman" w:cs="Times New Roman"/>
          <w:kern w:val="0"/>
          <w:szCs w:val="21"/>
        </w:rPr>
        <w:t xml:space="preserve"> disrupted </w:t>
      </w:r>
      <w:r>
        <w:rPr>
          <w:rFonts w:ascii="Times New Roman" w:hAnsi="Times New Roman" w:cs="Times New Roman"/>
          <w:kern w:val="0"/>
          <w:szCs w:val="21"/>
        </w:rPr>
        <w:t>the regulation of the calcium signaling, PPAR, and NF-kB signaling pathways, which were significantly enriched. The imbalance between free radicals and antioxidant defenses results in varying degrees of oxidative damage and lipid peroxidation in</w:t>
      </w:r>
      <w:r w:rsidR="00B32623">
        <w:rPr>
          <w:rFonts w:ascii="Times New Roman" w:hAnsi="Times New Roman" w:cs="Times New Roman"/>
          <w:kern w:val="0"/>
          <w:szCs w:val="21"/>
        </w:rPr>
        <w:t xml:space="preserve"> CGS larvae</w:t>
      </w:r>
      <w:r>
        <w:rPr>
          <w:rFonts w:ascii="Times New Roman" w:hAnsi="Times New Roman" w:cs="Times New Roman" w:hint="eastAsia"/>
          <w:kern w:val="0"/>
          <w:szCs w:val="21"/>
        </w:rPr>
        <w:t>,</w:t>
      </w:r>
      <w:r>
        <w:rPr>
          <w:rFonts w:ascii="Times New Roman" w:hAnsi="Times New Roman" w:cs="Times New Roman"/>
          <w:kern w:val="0"/>
          <w:szCs w:val="21"/>
        </w:rPr>
        <w:t xml:space="preserve"> </w:t>
      </w:r>
      <w:r w:rsidR="00B32623">
        <w:rPr>
          <w:rFonts w:ascii="Times New Roman" w:hAnsi="Times New Roman" w:cs="Times New Roman"/>
          <w:kern w:val="0"/>
          <w:szCs w:val="21"/>
        </w:rPr>
        <w:t>causing</w:t>
      </w:r>
      <w:r>
        <w:rPr>
          <w:rFonts w:ascii="Times New Roman" w:hAnsi="Times New Roman" w:cs="Times New Roman"/>
          <w:kern w:val="0"/>
          <w:szCs w:val="21"/>
        </w:rPr>
        <w:t xml:space="preserve"> oxidative stress, abnormal lipid metabolism, DNA damage, tissue inflammation, and abnormal behavior. </w:t>
      </w:r>
      <w:r w:rsidR="001F2AB0" w:rsidRPr="001F2AB0">
        <w:rPr>
          <w:rFonts w:ascii="Times New Roman" w:hAnsi="Times New Roman" w:cs="Times New Roman"/>
          <w:kern w:val="0"/>
          <w:szCs w:val="21"/>
        </w:rPr>
        <w:t>The results in present study provide a foundation for further study on the molecular mechanisms of pyrethrins to amphibian, a theoretical basis for the rational use of pyrethrins and environmental risks, and scientific guidance for the conservation of amphibian populations.</w:t>
      </w:r>
    </w:p>
    <w:p w14:paraId="1FB5AD77" w14:textId="60CE35C5" w:rsidR="00105E1A" w:rsidRDefault="00105E1A">
      <w:pPr>
        <w:widowControl/>
        <w:jc w:val="left"/>
        <w:rPr>
          <w:rFonts w:ascii="Times New Roman" w:hAnsi="Times New Roman" w:cs="Times New Roman"/>
          <w:kern w:val="0"/>
          <w:szCs w:val="21"/>
        </w:rPr>
      </w:pPr>
      <w:r>
        <w:rPr>
          <w:rFonts w:ascii="Times New Roman" w:hAnsi="Times New Roman" w:cs="Times New Roman"/>
          <w:kern w:val="0"/>
          <w:szCs w:val="21"/>
        </w:rPr>
        <w:br w:type="page"/>
      </w:r>
      <w:r>
        <w:rPr>
          <w:rFonts w:ascii="Times New Roman" w:hAnsi="Times New Roman" w:cs="Times New Roman"/>
          <w:kern w:val="0"/>
          <w:szCs w:val="21"/>
        </w:rPr>
        <w:lastRenderedPageBreak/>
        <w:t>Reference</w:t>
      </w:r>
    </w:p>
    <w:p w14:paraId="37301BBA" w14:textId="5B55FA9C"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Pr>
          <w:rFonts w:ascii="Times New Roman" w:hAnsi="Times New Roman" w:cs="Times New Roman"/>
          <w:kern w:val="0"/>
          <w:szCs w:val="21"/>
        </w:rPr>
        <w:fldChar w:fldCharType="begin" w:fldLock="1"/>
      </w:r>
      <w:r>
        <w:rPr>
          <w:rFonts w:ascii="Times New Roman" w:hAnsi="Times New Roman" w:cs="Times New Roman"/>
          <w:kern w:val="0"/>
          <w:szCs w:val="21"/>
        </w:rPr>
        <w:instrText xml:space="preserve">ADDIN Mendeley Bibliography CSL_BIBLIOGRAPHY </w:instrText>
      </w:r>
      <w:r>
        <w:rPr>
          <w:rFonts w:ascii="Times New Roman" w:hAnsi="Times New Roman" w:cs="Times New Roman"/>
          <w:kern w:val="0"/>
          <w:szCs w:val="21"/>
        </w:rPr>
        <w:fldChar w:fldCharType="separate"/>
      </w:r>
      <w:r w:rsidRPr="001F33E1">
        <w:rPr>
          <w:rFonts w:ascii="Times New Roman" w:hAnsi="Times New Roman" w:cs="Times New Roman"/>
          <w:noProof/>
          <w:kern w:val="0"/>
          <w:sz w:val="20"/>
          <w:szCs w:val="24"/>
        </w:rPr>
        <w:t>Akan, J., Sodipo, O., Mohammed, Z., Abdulrahman, F., 2014. Determination of Organochlorine, Organophosphorus and Pyrethroid Pesticide Residues in Water and Sediment Samples by High Performance Liquid Chromatography (HPLC) with UV/visible Detector. J. Anal. Bioanal. Tech. 5, 1000226. https://doi.org/10.4172/2155-9872.1000226</w:t>
      </w:r>
    </w:p>
    <w:p w14:paraId="4BA47F45"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Awoyemi, O.M., Kumar, N., Schmitt, C., Subbiah, S., Crago, J., 2019. Behavioral, molecular and physiological responses of embryo-larval zebrafish exposed to types I and II pyrethroids. </w:t>
      </w:r>
      <w:r w:rsidRPr="00880080">
        <w:rPr>
          <w:rFonts w:ascii="Times New Roman" w:hAnsi="Times New Roman" w:cs="Times New Roman"/>
          <w:noProof/>
          <w:kern w:val="0"/>
          <w:sz w:val="20"/>
          <w:szCs w:val="24"/>
        </w:rPr>
        <w:t>Chemosphere 219, 526–537. https://doi.org/10.1016/j.chemosphere.2018.12.026</w:t>
      </w:r>
    </w:p>
    <w:p w14:paraId="00B3459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Aydın, R., Köprücü, K., Dörücü, M., Köprücü, S.Ş., Pala, M., 2005. Acute toxicity of synthetic pyrethroid cypermethrin on the common carp (</w:t>
      </w:r>
      <w:r w:rsidRPr="0083523B">
        <w:rPr>
          <w:rFonts w:ascii="Times New Roman" w:hAnsi="Times New Roman" w:cs="Times New Roman"/>
          <w:i/>
          <w:iCs/>
          <w:noProof/>
          <w:kern w:val="0"/>
          <w:sz w:val="20"/>
          <w:szCs w:val="24"/>
        </w:rPr>
        <w:t>Cyprinus carpio L.</w:t>
      </w:r>
      <w:r w:rsidRPr="001F33E1">
        <w:rPr>
          <w:rFonts w:ascii="Times New Roman" w:hAnsi="Times New Roman" w:cs="Times New Roman"/>
          <w:noProof/>
          <w:kern w:val="0"/>
          <w:sz w:val="20"/>
          <w:szCs w:val="24"/>
        </w:rPr>
        <w:t>) embryos and larvae. Aquac. Int. 13, 451–458. https://doi.org/10.1007/s10499-005-0615-5</w:t>
      </w:r>
    </w:p>
    <w:p w14:paraId="7881B5A7"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Baruah, P., Chaurasia, N., 2020. Ecotoxicological effects of alpha-cypermethrin on freshwater alga </w:t>
      </w:r>
      <w:r w:rsidRPr="0083523B">
        <w:rPr>
          <w:rFonts w:ascii="Times New Roman" w:hAnsi="Times New Roman" w:cs="Times New Roman"/>
          <w:i/>
          <w:iCs/>
          <w:noProof/>
          <w:kern w:val="0"/>
          <w:sz w:val="20"/>
          <w:szCs w:val="24"/>
        </w:rPr>
        <w:t>Chlorella sp</w:t>
      </w:r>
      <w:r w:rsidRPr="001F33E1">
        <w:rPr>
          <w:rFonts w:ascii="Times New Roman" w:hAnsi="Times New Roman" w:cs="Times New Roman"/>
          <w:noProof/>
          <w:kern w:val="0"/>
          <w:sz w:val="20"/>
          <w:szCs w:val="24"/>
        </w:rPr>
        <w:t>.: Growth inhibition and oxidative stress studies. Environ. Toxicol. Pharmacol. 76, 103347. https://doi.org/10.1016/j.etap.2020.103347</w:t>
      </w:r>
    </w:p>
    <w:p w14:paraId="2322B4EB"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Bhatia, H., Kumar, A., Ogino, Y., Gregg, A., Chapman, J., McLaughlin, M.J., Iguchi, T., 2014. Dinbutyl phthalate causes estrogenic effects in adult male Murray rainbowfish (</w:t>
      </w:r>
      <w:r w:rsidRPr="0083523B">
        <w:rPr>
          <w:rFonts w:ascii="Times New Roman" w:hAnsi="Times New Roman" w:cs="Times New Roman"/>
          <w:i/>
          <w:iCs/>
          <w:noProof/>
          <w:kern w:val="0"/>
          <w:sz w:val="20"/>
          <w:szCs w:val="24"/>
        </w:rPr>
        <w:t>Melanotaenia fluviatilis</w:t>
      </w:r>
      <w:r w:rsidRPr="001F33E1">
        <w:rPr>
          <w:rFonts w:ascii="Times New Roman" w:hAnsi="Times New Roman" w:cs="Times New Roman"/>
          <w:noProof/>
          <w:kern w:val="0"/>
          <w:sz w:val="20"/>
          <w:szCs w:val="24"/>
        </w:rPr>
        <w:t>). Aquat. Toxicol. 149, 103–15. https://doi.org/10.1016/j.aquatox.2014.01.025</w:t>
      </w:r>
    </w:p>
    <w:p w14:paraId="058353F2"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Cao, F., Liu, X., Wang, C., Zheng, M., Li, X., Qiu, L., 2016. Acute and short-term developmental toxicity of cyhalofop-butyl to zebrafish (</w:t>
      </w:r>
      <w:r w:rsidRPr="0083523B">
        <w:rPr>
          <w:rFonts w:ascii="Times New Roman" w:hAnsi="Times New Roman" w:cs="Times New Roman"/>
          <w:i/>
          <w:iCs/>
          <w:noProof/>
          <w:kern w:val="0"/>
          <w:sz w:val="20"/>
          <w:szCs w:val="24"/>
        </w:rPr>
        <w:t>Danio rerio</w:t>
      </w:r>
      <w:r w:rsidRPr="001F33E1">
        <w:rPr>
          <w:rFonts w:ascii="Times New Roman" w:hAnsi="Times New Roman" w:cs="Times New Roman"/>
          <w:noProof/>
          <w:kern w:val="0"/>
          <w:sz w:val="20"/>
          <w:szCs w:val="24"/>
        </w:rPr>
        <w:t>). Environ. Sci. Pollut. Res. 23, 10080–10089. https://doi.org/10.1007/s11356-016-6236-x</w:t>
      </w:r>
    </w:p>
    <w:p w14:paraId="1A3823B6"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Chauhan, D., Pandey, P., Ogata, A., Teoh, G., Krett, N., Halgren, R., Rosen, S., Kufe, D., Kharbanda, S., Anderson, K., 1997. Cytochrome c-dependent and -independent induction of apoptosis in multiple myeloma cells. J. Biol. Chem. 272, 29995–29997. https://doi.org/10.1074/jbc.272.48.29995</w:t>
      </w:r>
    </w:p>
    <w:p w14:paraId="76BECAD1" w14:textId="2B854C86"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Chen, L., Lam, J.C.W., Hu, C., Tsui, M.M.P., Lam, P.K.S., Zhou, B., 2019. Perfluorobutanesulfonate Exposure </w:t>
      </w:r>
      <w:r w:rsidR="00514498">
        <w:rPr>
          <w:rFonts w:ascii="Times New Roman" w:hAnsi="Times New Roman" w:cs="Times New Roman"/>
          <w:noProof/>
          <w:kern w:val="0"/>
          <w:sz w:val="20"/>
          <w:szCs w:val="24"/>
        </w:rPr>
        <w:t>s</w:t>
      </w:r>
      <w:r w:rsidR="00514498" w:rsidRPr="001F33E1">
        <w:rPr>
          <w:rFonts w:ascii="Times New Roman" w:hAnsi="Times New Roman" w:cs="Times New Roman"/>
          <w:noProof/>
          <w:kern w:val="0"/>
          <w:sz w:val="20"/>
          <w:szCs w:val="24"/>
        </w:rPr>
        <w:t xml:space="preserve">kews </w:t>
      </w:r>
      <w:r w:rsidR="00514498">
        <w:rPr>
          <w:rFonts w:ascii="Times New Roman" w:hAnsi="Times New Roman" w:cs="Times New Roman"/>
          <w:noProof/>
          <w:kern w:val="0"/>
          <w:sz w:val="20"/>
          <w:szCs w:val="24"/>
        </w:rPr>
        <w:t>s</w:t>
      </w:r>
      <w:r w:rsidR="00514498" w:rsidRPr="001F33E1">
        <w:rPr>
          <w:rFonts w:ascii="Times New Roman" w:hAnsi="Times New Roman" w:cs="Times New Roman"/>
          <w:noProof/>
          <w:kern w:val="0"/>
          <w:sz w:val="20"/>
          <w:szCs w:val="24"/>
        </w:rPr>
        <w:t xml:space="preserve">ex </w:t>
      </w:r>
      <w:r w:rsidR="00514498">
        <w:rPr>
          <w:rFonts w:ascii="Times New Roman" w:hAnsi="Times New Roman" w:cs="Times New Roman"/>
          <w:noProof/>
          <w:kern w:val="0"/>
          <w:sz w:val="20"/>
          <w:szCs w:val="24"/>
        </w:rPr>
        <w:t>r</w:t>
      </w:r>
      <w:r w:rsidR="00514498" w:rsidRPr="001F33E1">
        <w:rPr>
          <w:rFonts w:ascii="Times New Roman" w:hAnsi="Times New Roman" w:cs="Times New Roman"/>
          <w:noProof/>
          <w:kern w:val="0"/>
          <w:sz w:val="20"/>
          <w:szCs w:val="24"/>
        </w:rPr>
        <w:t xml:space="preserve">atio </w:t>
      </w:r>
      <w:r w:rsidRPr="001F33E1">
        <w:rPr>
          <w:rFonts w:ascii="Times New Roman" w:hAnsi="Times New Roman" w:cs="Times New Roman"/>
          <w:noProof/>
          <w:kern w:val="0"/>
          <w:sz w:val="20"/>
          <w:szCs w:val="24"/>
        </w:rPr>
        <w:t xml:space="preserve">in </w:t>
      </w:r>
      <w:r w:rsidR="00514498">
        <w:rPr>
          <w:rFonts w:ascii="Times New Roman" w:hAnsi="Times New Roman" w:cs="Times New Roman"/>
          <w:noProof/>
          <w:kern w:val="0"/>
          <w:sz w:val="20"/>
          <w:szCs w:val="24"/>
        </w:rPr>
        <w:t>f</w:t>
      </w:r>
      <w:r w:rsidR="00514498" w:rsidRPr="001F33E1">
        <w:rPr>
          <w:rFonts w:ascii="Times New Roman" w:hAnsi="Times New Roman" w:cs="Times New Roman"/>
          <w:noProof/>
          <w:kern w:val="0"/>
          <w:sz w:val="20"/>
          <w:szCs w:val="24"/>
        </w:rPr>
        <w:t xml:space="preserve">ish </w:t>
      </w:r>
      <w:r w:rsidRPr="001F33E1">
        <w:rPr>
          <w:rFonts w:ascii="Times New Roman" w:hAnsi="Times New Roman" w:cs="Times New Roman"/>
          <w:noProof/>
          <w:kern w:val="0"/>
          <w:sz w:val="20"/>
          <w:szCs w:val="24"/>
        </w:rPr>
        <w:t xml:space="preserve">and </w:t>
      </w:r>
      <w:r w:rsidR="00514498">
        <w:rPr>
          <w:rFonts w:ascii="Times New Roman" w:hAnsi="Times New Roman" w:cs="Times New Roman"/>
          <w:noProof/>
          <w:kern w:val="0"/>
          <w:sz w:val="20"/>
          <w:szCs w:val="24"/>
        </w:rPr>
        <w:t>t</w:t>
      </w:r>
      <w:r w:rsidR="00514498" w:rsidRPr="001F33E1">
        <w:rPr>
          <w:rFonts w:ascii="Times New Roman" w:hAnsi="Times New Roman" w:cs="Times New Roman"/>
          <w:noProof/>
          <w:kern w:val="0"/>
          <w:sz w:val="20"/>
          <w:szCs w:val="24"/>
        </w:rPr>
        <w:t xml:space="preserve">ransgenerationally </w:t>
      </w:r>
      <w:r w:rsidR="00514498">
        <w:rPr>
          <w:rFonts w:ascii="Times New Roman" w:hAnsi="Times New Roman" w:cs="Times New Roman"/>
          <w:noProof/>
          <w:kern w:val="0"/>
          <w:sz w:val="20"/>
          <w:szCs w:val="24"/>
        </w:rPr>
        <w:t>i</w:t>
      </w:r>
      <w:r w:rsidR="00514498" w:rsidRPr="001F33E1">
        <w:rPr>
          <w:rFonts w:ascii="Times New Roman" w:hAnsi="Times New Roman" w:cs="Times New Roman"/>
          <w:noProof/>
          <w:kern w:val="0"/>
          <w:sz w:val="20"/>
          <w:szCs w:val="24"/>
        </w:rPr>
        <w:t xml:space="preserve">mpairs </w:t>
      </w:r>
      <w:r w:rsidR="00514498">
        <w:rPr>
          <w:rFonts w:ascii="Times New Roman" w:hAnsi="Times New Roman" w:cs="Times New Roman"/>
          <w:noProof/>
          <w:kern w:val="0"/>
          <w:sz w:val="20"/>
          <w:szCs w:val="24"/>
        </w:rPr>
        <w:t>r</w:t>
      </w:r>
      <w:r w:rsidR="00514498" w:rsidRPr="001F33E1">
        <w:rPr>
          <w:rFonts w:ascii="Times New Roman" w:hAnsi="Times New Roman" w:cs="Times New Roman"/>
          <w:noProof/>
          <w:kern w:val="0"/>
          <w:sz w:val="20"/>
          <w:szCs w:val="24"/>
        </w:rPr>
        <w:t>eproduction</w:t>
      </w:r>
      <w:r w:rsidRPr="001F33E1">
        <w:rPr>
          <w:rFonts w:ascii="Times New Roman" w:hAnsi="Times New Roman" w:cs="Times New Roman"/>
          <w:noProof/>
          <w:kern w:val="0"/>
          <w:sz w:val="20"/>
          <w:szCs w:val="24"/>
        </w:rPr>
        <w:t>. Environ. Sci. Technol. 53, 8389–8397. https://doi.org/10.1021/acs.est.9b01711</w:t>
      </w:r>
    </w:p>
    <w:p w14:paraId="10779BA1"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Choi, J.S., Hong, S.H., Park, J.W., 2020. Evaluation of microplastic toxicity in accordance with different sizes and exposure times in the marine copepod </w:t>
      </w:r>
      <w:r w:rsidRPr="0083523B">
        <w:rPr>
          <w:rFonts w:ascii="Times New Roman" w:hAnsi="Times New Roman" w:cs="Times New Roman"/>
          <w:i/>
          <w:iCs/>
          <w:noProof/>
          <w:kern w:val="0"/>
          <w:sz w:val="20"/>
          <w:szCs w:val="24"/>
        </w:rPr>
        <w:t>Tigriopus japonicus</w:t>
      </w:r>
      <w:r w:rsidRPr="001F33E1">
        <w:rPr>
          <w:rFonts w:ascii="Times New Roman" w:hAnsi="Times New Roman" w:cs="Times New Roman"/>
          <w:noProof/>
          <w:kern w:val="0"/>
          <w:sz w:val="20"/>
          <w:szCs w:val="24"/>
        </w:rPr>
        <w:t>. Mar. Environ. Res. 153, 104838. https://doi.org/10.1016/j.marenvres.2019.104838</w:t>
      </w:r>
    </w:p>
    <w:p w14:paraId="579A31F3"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Collins, L.J., Biggs, P.J., Voelckel, C., Joly, S., 2008. An approach to transcriptome analysis of non-model organisms using short-read sequences. Genome Inform. 21, 3–14. https://doi.org/10.1142/9781848163324_0001</w:t>
      </w:r>
    </w:p>
    <w:p w14:paraId="517B158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Dizdaroglu, M., 2012. Oxidatively induced DNA damage: Mechanisms, repair and disease. Cancer Lett. 327, 26–47. https://doi.org/10.1016/j.canlet.2012.01.016</w:t>
      </w:r>
    </w:p>
    <w:p w14:paraId="79F615F0"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Du, J., Zhao, M., Li, J., 2015. Determination of water quality criteria for three synthetic pyrethroids for the protection of aquatic life. Int. J. Geol. Agric. Environ. Sci. 3, 21–28.</w:t>
      </w:r>
    </w:p>
    <w:p w14:paraId="70B48AFA"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El-Sayed, Y.S., Saad, T.T., 2007. Subacute intoxication of a deltamethrin-based preparation (Butox® 5% EC) in monosex </w:t>
      </w:r>
      <w:r w:rsidRPr="000D38BF">
        <w:rPr>
          <w:rFonts w:ascii="Times New Roman" w:hAnsi="Times New Roman" w:cs="Times New Roman"/>
          <w:noProof/>
          <w:kern w:val="0"/>
          <w:sz w:val="20"/>
          <w:szCs w:val="24"/>
        </w:rPr>
        <w:t>Nile tilapia</w:t>
      </w:r>
      <w:r w:rsidRPr="001F33E1">
        <w:rPr>
          <w:rFonts w:ascii="Times New Roman" w:hAnsi="Times New Roman" w:cs="Times New Roman"/>
          <w:noProof/>
          <w:kern w:val="0"/>
          <w:sz w:val="20"/>
          <w:szCs w:val="24"/>
        </w:rPr>
        <w:t xml:space="preserve">, </w:t>
      </w:r>
      <w:r w:rsidRPr="0083523B">
        <w:rPr>
          <w:rFonts w:ascii="Times New Roman" w:hAnsi="Times New Roman" w:cs="Times New Roman"/>
          <w:i/>
          <w:iCs/>
          <w:noProof/>
          <w:kern w:val="0"/>
          <w:sz w:val="20"/>
          <w:szCs w:val="24"/>
        </w:rPr>
        <w:t>Oreochromis niloticus L</w:t>
      </w:r>
      <w:r w:rsidRPr="001F33E1">
        <w:rPr>
          <w:rFonts w:ascii="Times New Roman" w:hAnsi="Times New Roman" w:cs="Times New Roman"/>
          <w:noProof/>
          <w:kern w:val="0"/>
          <w:sz w:val="20"/>
          <w:szCs w:val="24"/>
        </w:rPr>
        <w:t>. Basic Clin. Pharmacol. Toxicol. 102, 293–299. https://doi.org/10.1111/j.1742-7843.2007.00157.x</w:t>
      </w:r>
    </w:p>
    <w:p w14:paraId="59447D26" w14:textId="33D581FA"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Farag, M.R., Mahmoud, H.K., El-Sayed, S.A.A., Ahmed, S.Y.A., Alagawany, M., Abou-Zeid, S.M., 2021. Neurobehavioral, physiological and inflammatory impairments in response to bifenthrin intoxication in </w:t>
      </w:r>
      <w:r w:rsidRPr="0083523B">
        <w:rPr>
          <w:rFonts w:ascii="Times New Roman" w:hAnsi="Times New Roman" w:cs="Times New Roman"/>
          <w:i/>
          <w:iCs/>
          <w:noProof/>
          <w:kern w:val="0"/>
          <w:sz w:val="20"/>
          <w:szCs w:val="24"/>
        </w:rPr>
        <w:t>Oreochromis niloticus</w:t>
      </w:r>
      <w:r w:rsidRPr="001F33E1">
        <w:rPr>
          <w:rFonts w:ascii="Times New Roman" w:hAnsi="Times New Roman" w:cs="Times New Roman"/>
          <w:noProof/>
          <w:kern w:val="0"/>
          <w:sz w:val="20"/>
          <w:szCs w:val="24"/>
        </w:rPr>
        <w:t xml:space="preserve"> fish: Role of dietary supplementation with </w:t>
      </w:r>
      <w:r w:rsidR="003A224F">
        <w:rPr>
          <w:rFonts w:ascii="Times New Roman" w:hAnsi="Times New Roman" w:cs="Times New Roman" w:hint="eastAsia"/>
          <w:noProof/>
          <w:kern w:val="0"/>
          <w:sz w:val="20"/>
          <w:szCs w:val="24"/>
        </w:rPr>
        <w:t>p</w:t>
      </w:r>
      <w:r w:rsidRPr="001F33E1">
        <w:rPr>
          <w:rFonts w:ascii="Times New Roman" w:hAnsi="Times New Roman" w:cs="Times New Roman"/>
          <w:noProof/>
          <w:kern w:val="0"/>
          <w:sz w:val="20"/>
          <w:szCs w:val="24"/>
        </w:rPr>
        <w:t xml:space="preserve">etroselinum crispum essential oil. Aquat. Toxicol. 231, 105715. </w:t>
      </w:r>
      <w:r w:rsidRPr="001F33E1">
        <w:rPr>
          <w:rFonts w:ascii="Times New Roman" w:hAnsi="Times New Roman" w:cs="Times New Roman"/>
          <w:noProof/>
          <w:kern w:val="0"/>
          <w:sz w:val="20"/>
          <w:szCs w:val="24"/>
        </w:rPr>
        <w:lastRenderedPageBreak/>
        <w:t>https://doi.org/10.1016/j.aquatox.2020.105715</w:t>
      </w:r>
    </w:p>
    <w:p w14:paraId="3381FD0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Fatima, M., Mandiki, S.N.M., Douxfils, J., Silvestre, F., Coppe, P., Kestemont, P., 2007. Combined effects of herbicides on biomarkers reflecting immune-endocrine interactions in goldfish. Immune and antioxidant effects. Aquat. Toxicol. 81, 159–167. https://doi.org/10.1016/j.aquatox.2006.11.013</w:t>
      </w:r>
    </w:p>
    <w:p w14:paraId="1CD52122"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Fernández-Ramos, C., Šatínský, D., Solich, P., 2014. New method for the determination of carbamate and pyrethroid insecticides in water samples using on-line SPE fused core column </w:t>
      </w:r>
      <w:r w:rsidRPr="00880080">
        <w:rPr>
          <w:rFonts w:ascii="Times New Roman" w:hAnsi="Times New Roman" w:cs="Times New Roman"/>
          <w:noProof/>
          <w:kern w:val="0"/>
          <w:sz w:val="20"/>
          <w:szCs w:val="24"/>
        </w:rPr>
        <w:t>chromatography. Talanta 129, 579–585. https://doi.org/10.1016/j.talanta.2014.06.037</w:t>
      </w:r>
    </w:p>
    <w:p w14:paraId="3764C72E" w14:textId="1E15C51E" w:rsidR="001F33E1" w:rsidRPr="00880080"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880080">
        <w:rPr>
          <w:rFonts w:ascii="Times New Roman" w:hAnsi="Times New Roman" w:cs="Times New Roman"/>
          <w:noProof/>
          <w:kern w:val="0"/>
          <w:sz w:val="20"/>
          <w:szCs w:val="24"/>
        </w:rPr>
        <w:t xml:space="preserve">Franklin, M.P., Sathyanarayan, A., G., M., 2017. Acyl-CoA Thioesterase 1 (ACOT1) Regulates PPARa to </w:t>
      </w:r>
      <w:r w:rsidR="004C3F4D" w:rsidRPr="00880080">
        <w:rPr>
          <w:rFonts w:ascii="Times New Roman" w:hAnsi="Times New Roman" w:cs="Times New Roman"/>
          <w:noProof/>
          <w:kern w:val="0"/>
          <w:sz w:val="20"/>
          <w:szCs w:val="24"/>
        </w:rPr>
        <w:t xml:space="preserve">couple fatty acid flux </w:t>
      </w:r>
      <w:r w:rsidRPr="00880080">
        <w:rPr>
          <w:rFonts w:ascii="Times New Roman" w:hAnsi="Times New Roman" w:cs="Times New Roman"/>
          <w:noProof/>
          <w:kern w:val="0"/>
          <w:sz w:val="20"/>
          <w:szCs w:val="24"/>
        </w:rPr>
        <w:t xml:space="preserve">with </w:t>
      </w:r>
      <w:r w:rsidR="004C3F4D" w:rsidRPr="00880080">
        <w:rPr>
          <w:rFonts w:ascii="Times New Roman" w:hAnsi="Times New Roman" w:cs="Times New Roman"/>
          <w:noProof/>
          <w:kern w:val="0"/>
          <w:sz w:val="20"/>
          <w:szCs w:val="24"/>
        </w:rPr>
        <w:t>oxidative capacity during fasting</w:t>
      </w:r>
      <w:r w:rsidRPr="00880080">
        <w:rPr>
          <w:rFonts w:ascii="Times New Roman" w:hAnsi="Times New Roman" w:cs="Times New Roman"/>
          <w:noProof/>
          <w:kern w:val="0"/>
          <w:sz w:val="20"/>
          <w:szCs w:val="24"/>
        </w:rPr>
        <w:t>. Diabetes 66, 1–44.</w:t>
      </w:r>
    </w:p>
    <w:p w14:paraId="303A018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880080">
        <w:rPr>
          <w:rFonts w:ascii="Times New Roman" w:hAnsi="Times New Roman" w:cs="Times New Roman"/>
          <w:noProof/>
          <w:kern w:val="0"/>
          <w:sz w:val="20"/>
          <w:szCs w:val="24"/>
        </w:rPr>
        <w:t>Gao, Y., Hua, R., Hu, K., Wang, Z., 2021. Carbohydrates deteriorate fatty liver by activating the</w:t>
      </w:r>
      <w:r w:rsidRPr="001F33E1">
        <w:rPr>
          <w:rFonts w:ascii="Times New Roman" w:hAnsi="Times New Roman" w:cs="Times New Roman"/>
          <w:noProof/>
          <w:kern w:val="0"/>
          <w:sz w:val="20"/>
          <w:szCs w:val="24"/>
        </w:rPr>
        <w:t xml:space="preserve"> inflammatory response Yuqi. Nutr. Res. Rev. 35, 41–48.</w:t>
      </w:r>
    </w:p>
    <w:p w14:paraId="3C59A5BC" w14:textId="4437E16C"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FF1F17">
        <w:rPr>
          <w:rFonts w:ascii="Times New Roman" w:hAnsi="Times New Roman" w:cs="Times New Roman"/>
          <w:noProof/>
          <w:kern w:val="0"/>
          <w:sz w:val="20"/>
          <w:szCs w:val="24"/>
        </w:rPr>
        <w:t>Garí, M., González-Quinteiro, Y., Bravo, N., Grimalt, J.O., 2018. Analysis of metabolites of organophosphate and pyrethroid pesticides in human urine from urban and agricultural populations (Catalonia and Galicia). Sci. Total Environ. 526–533.</w:t>
      </w:r>
      <w:r w:rsidRPr="001F33E1">
        <w:rPr>
          <w:rFonts w:ascii="Times New Roman" w:hAnsi="Times New Roman" w:cs="Times New Roman"/>
          <w:noProof/>
          <w:kern w:val="0"/>
          <w:sz w:val="20"/>
          <w:szCs w:val="24"/>
        </w:rPr>
        <w:t xml:space="preserve"> https://doi.org/10.1016/j.scitotenv.2017.11.355</w:t>
      </w:r>
    </w:p>
    <w:p w14:paraId="5637E347"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Ge, J., Cong, J., Sun, Y., Li, G., Zhou, Z., Qian, C., Liu, F., 2010. Determination of endocrine disrupting chemicals in surface water and industrial wastewater from Beijing, China. Bull. Environ. Contam. Toxicol. 84, 401–405. https://doi.org/10.1007/s00128-010-9958-3</w:t>
      </w:r>
    </w:p>
    <w:p w14:paraId="39170DA9" w14:textId="5EAD6451"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Harwood, N.E., Batista, F.D., 2008. New Insights into the </w:t>
      </w:r>
      <w:r w:rsidR="00012E50">
        <w:rPr>
          <w:rFonts w:ascii="Times New Roman" w:hAnsi="Times New Roman" w:cs="Times New Roman"/>
          <w:noProof/>
          <w:kern w:val="0"/>
          <w:sz w:val="20"/>
          <w:szCs w:val="24"/>
        </w:rPr>
        <w:t>e</w:t>
      </w:r>
      <w:r w:rsidR="00012E50" w:rsidRPr="001F33E1">
        <w:rPr>
          <w:rFonts w:ascii="Times New Roman" w:hAnsi="Times New Roman" w:cs="Times New Roman"/>
          <w:noProof/>
          <w:kern w:val="0"/>
          <w:sz w:val="20"/>
          <w:szCs w:val="24"/>
        </w:rPr>
        <w:t xml:space="preserve">arly </w:t>
      </w:r>
      <w:r w:rsidR="00012E50">
        <w:rPr>
          <w:rFonts w:ascii="Times New Roman" w:hAnsi="Times New Roman" w:cs="Times New Roman"/>
          <w:noProof/>
          <w:kern w:val="0"/>
          <w:sz w:val="20"/>
          <w:szCs w:val="24"/>
        </w:rPr>
        <w:t>m</w:t>
      </w:r>
      <w:r w:rsidR="00012E50" w:rsidRPr="001F33E1">
        <w:rPr>
          <w:rFonts w:ascii="Times New Roman" w:hAnsi="Times New Roman" w:cs="Times New Roman"/>
          <w:noProof/>
          <w:kern w:val="0"/>
          <w:sz w:val="20"/>
          <w:szCs w:val="24"/>
        </w:rPr>
        <w:t xml:space="preserve">olecular </w:t>
      </w:r>
      <w:r w:rsidR="00012E50">
        <w:rPr>
          <w:rFonts w:ascii="Times New Roman" w:hAnsi="Times New Roman" w:cs="Times New Roman"/>
          <w:noProof/>
          <w:kern w:val="0"/>
          <w:sz w:val="20"/>
          <w:szCs w:val="24"/>
        </w:rPr>
        <w:t>e</w:t>
      </w:r>
      <w:r w:rsidR="00012E50" w:rsidRPr="001F33E1">
        <w:rPr>
          <w:rFonts w:ascii="Times New Roman" w:hAnsi="Times New Roman" w:cs="Times New Roman"/>
          <w:noProof/>
          <w:kern w:val="0"/>
          <w:sz w:val="20"/>
          <w:szCs w:val="24"/>
        </w:rPr>
        <w:t xml:space="preserve">vents </w:t>
      </w:r>
      <w:r w:rsidR="00012E50">
        <w:rPr>
          <w:rFonts w:ascii="Times New Roman" w:hAnsi="Times New Roman" w:cs="Times New Roman"/>
          <w:noProof/>
          <w:kern w:val="0"/>
          <w:sz w:val="20"/>
          <w:szCs w:val="24"/>
        </w:rPr>
        <w:t>u</w:t>
      </w:r>
      <w:r w:rsidR="00012E50" w:rsidRPr="001F33E1">
        <w:rPr>
          <w:rFonts w:ascii="Times New Roman" w:hAnsi="Times New Roman" w:cs="Times New Roman"/>
          <w:noProof/>
          <w:kern w:val="0"/>
          <w:sz w:val="20"/>
          <w:szCs w:val="24"/>
        </w:rPr>
        <w:t xml:space="preserve">nderlying </w:t>
      </w:r>
      <w:r w:rsidRPr="001F33E1">
        <w:rPr>
          <w:rFonts w:ascii="Times New Roman" w:hAnsi="Times New Roman" w:cs="Times New Roman"/>
          <w:noProof/>
          <w:kern w:val="0"/>
          <w:sz w:val="20"/>
          <w:szCs w:val="24"/>
        </w:rPr>
        <w:t xml:space="preserve">B </w:t>
      </w:r>
      <w:r w:rsidR="00012E50">
        <w:rPr>
          <w:rFonts w:ascii="Times New Roman" w:hAnsi="Times New Roman" w:cs="Times New Roman"/>
          <w:noProof/>
          <w:kern w:val="0"/>
          <w:sz w:val="20"/>
          <w:szCs w:val="24"/>
        </w:rPr>
        <w:t>c</w:t>
      </w:r>
      <w:r w:rsidR="00012E50" w:rsidRPr="001F33E1">
        <w:rPr>
          <w:rFonts w:ascii="Times New Roman" w:hAnsi="Times New Roman" w:cs="Times New Roman"/>
          <w:noProof/>
          <w:kern w:val="0"/>
          <w:sz w:val="20"/>
          <w:szCs w:val="24"/>
        </w:rPr>
        <w:t xml:space="preserve">ell </w:t>
      </w:r>
      <w:r w:rsidR="00012E50">
        <w:rPr>
          <w:rFonts w:ascii="Times New Roman" w:hAnsi="Times New Roman" w:cs="Times New Roman"/>
          <w:noProof/>
          <w:kern w:val="0"/>
          <w:sz w:val="20"/>
          <w:szCs w:val="24"/>
        </w:rPr>
        <w:t>a</w:t>
      </w:r>
      <w:r w:rsidR="00012E50" w:rsidRPr="001F33E1">
        <w:rPr>
          <w:rFonts w:ascii="Times New Roman" w:hAnsi="Times New Roman" w:cs="Times New Roman"/>
          <w:noProof/>
          <w:kern w:val="0"/>
          <w:sz w:val="20"/>
          <w:szCs w:val="24"/>
        </w:rPr>
        <w:t>ctivation</w:t>
      </w:r>
      <w:r w:rsidRPr="001F33E1">
        <w:rPr>
          <w:rFonts w:ascii="Times New Roman" w:hAnsi="Times New Roman" w:cs="Times New Roman"/>
          <w:noProof/>
          <w:kern w:val="0"/>
          <w:sz w:val="20"/>
          <w:szCs w:val="24"/>
        </w:rPr>
        <w:t>. Immunity 28, 609–619. https://doi.org/10.1016/j.immuni.2008.04.007</w:t>
      </w:r>
    </w:p>
    <w:p w14:paraId="4473D154"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Hayes, T.B., Falso, P., Gallipeau, S., Stice, M., 2010. The cause of global amphibian declines: A developmental endocrinologist’s perspective. J. Exp. Biol. 213, 921–933. https://doi.org/10.1242/jeb.040865</w:t>
      </w:r>
    </w:p>
    <w:p w14:paraId="2A32618D" w14:textId="3CEE6C8A"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FF1F17">
        <w:rPr>
          <w:rFonts w:ascii="Times New Roman" w:hAnsi="Times New Roman" w:cs="Times New Roman"/>
          <w:noProof/>
          <w:kern w:val="0"/>
          <w:sz w:val="20"/>
          <w:szCs w:val="24"/>
        </w:rPr>
        <w:t>Hermes-Lima, M., Storey, J.M., Storey, K.B., 1998. Antioxidant defenses and metabolic depression. The hypothesis of preparation for oxidative stress in land snails. Comp. Biochem. Physiol. - B</w:t>
      </w:r>
      <w:r w:rsidRPr="001F33E1">
        <w:rPr>
          <w:rFonts w:ascii="Times New Roman" w:hAnsi="Times New Roman" w:cs="Times New Roman"/>
          <w:noProof/>
          <w:kern w:val="0"/>
          <w:sz w:val="20"/>
          <w:szCs w:val="24"/>
        </w:rPr>
        <w:t xml:space="preserve"> Biochem. Mol. Biol. 120, 437</w:t>
      </w:r>
      <w:r w:rsidR="00FF1F17">
        <w:rPr>
          <w:rFonts w:ascii="Times New Roman" w:hAnsi="Times New Roman" w:cs="Times New Roman" w:hint="eastAsia"/>
          <w:noProof/>
          <w:kern w:val="0"/>
          <w:sz w:val="20"/>
          <w:szCs w:val="24"/>
        </w:rPr>
        <w:t>-</w:t>
      </w:r>
      <w:r w:rsidRPr="001F33E1">
        <w:rPr>
          <w:rFonts w:ascii="Times New Roman" w:hAnsi="Times New Roman" w:cs="Times New Roman"/>
          <w:noProof/>
          <w:kern w:val="0"/>
          <w:sz w:val="20"/>
          <w:szCs w:val="24"/>
        </w:rPr>
        <w:t>448. https://doi.org/10.1016/S0305-0491(98)10053-6</w:t>
      </w:r>
    </w:p>
    <w:p w14:paraId="69D5367C"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Hof, C., Araújo, M.B., Jetz, W., Rahbek, C., 2011. Additive threats from pathogens, climate and land-use change for global amphibian diversity. Nature 480, 516–519. https://doi.org/10.1038/nature10650</w:t>
      </w:r>
    </w:p>
    <w:p w14:paraId="33983234"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Jiang, N., Song, P., Li, X., Zhu, L., Wang, Jinhua, Yin, X., Wang, Jun, 2022. Dibutyl phthalate induced oxidative stress and genotoxicity on adult zebrafish (</w:t>
      </w:r>
      <w:r w:rsidRPr="0083523B">
        <w:rPr>
          <w:rFonts w:ascii="Times New Roman" w:hAnsi="Times New Roman" w:cs="Times New Roman"/>
          <w:i/>
          <w:iCs/>
          <w:noProof/>
          <w:kern w:val="0"/>
          <w:sz w:val="20"/>
          <w:szCs w:val="24"/>
        </w:rPr>
        <w:t>Danio rerio</w:t>
      </w:r>
      <w:r w:rsidRPr="001F33E1">
        <w:rPr>
          <w:rFonts w:ascii="Times New Roman" w:hAnsi="Times New Roman" w:cs="Times New Roman"/>
          <w:noProof/>
          <w:kern w:val="0"/>
          <w:sz w:val="20"/>
          <w:szCs w:val="24"/>
        </w:rPr>
        <w:t>) brain. J. Hazard. Mater. 424, 127749. https://doi.org/10.1016/j.jhazmat.2021.127749</w:t>
      </w:r>
    </w:p>
    <w:p w14:paraId="70CAB1BB"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Jin, Y., Pan, X., Cao, L., Ma, B., Fu, Z., 2013. Embryonic exposure to cis-bifenthrin enantioselectively induces the transcription of genes related to oxidative stress, apoptosis and immunotoxicity in zebrafish (</w:t>
      </w:r>
      <w:r w:rsidRPr="0083523B">
        <w:rPr>
          <w:rFonts w:ascii="Times New Roman" w:hAnsi="Times New Roman" w:cs="Times New Roman"/>
          <w:i/>
          <w:iCs/>
          <w:noProof/>
          <w:kern w:val="0"/>
          <w:sz w:val="20"/>
          <w:szCs w:val="24"/>
        </w:rPr>
        <w:t>Danio rerio</w:t>
      </w:r>
      <w:r w:rsidRPr="001F33E1">
        <w:rPr>
          <w:rFonts w:ascii="Times New Roman" w:hAnsi="Times New Roman" w:cs="Times New Roman"/>
          <w:noProof/>
          <w:kern w:val="0"/>
          <w:sz w:val="20"/>
          <w:szCs w:val="24"/>
        </w:rPr>
        <w:t>). Fish Shellfish Immunol. 34, 717–723. https://doi.org/10.1016/j.fsi.2012.11.046</w:t>
      </w:r>
    </w:p>
    <w:p w14:paraId="2B113FA8"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Kurosaki, T., Shinohara, H., Baba, Y., 2010. B cell signaling and fate decision. Annu. Rev. Immunol. 28, 21–55. https://doi.org/10.1146/annurev.immunol.021908.132541</w:t>
      </w:r>
    </w:p>
    <w:p w14:paraId="4FC3D916"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Langlois, V.S., 2021. Amphibian Toxicology: A Rich But Underappreciated Model for Ecotoxicology Research. Arch. Environ. Contam. Toxicol. 80, 661–662. https://doi.org/10.1007/s00244-021-00844-0</w:t>
      </w:r>
    </w:p>
    <w:p w14:paraId="276BFEA8"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Liu, Y., Xin, Z.-Z., Song, J., Zhu, X.-Y., Liu, Q.-N., Zhang, D.-Z., Tang, B.-P., Zhou, C.-L., Dai, L.-S., 2018. Transcriptome Analysis Reveals Potential Antioxidant Defense Mechanisms in Antheraea </w:t>
      </w:r>
      <w:r w:rsidRPr="001F33E1">
        <w:rPr>
          <w:rFonts w:ascii="Times New Roman" w:hAnsi="Times New Roman" w:cs="Times New Roman"/>
          <w:noProof/>
          <w:kern w:val="0"/>
          <w:sz w:val="20"/>
          <w:szCs w:val="24"/>
        </w:rPr>
        <w:lastRenderedPageBreak/>
        <w:t>pernyi in Response to Zinc Stress. J. Agric. Food Chem. 66, 8132—8141. https://doi.org/10.1021/acs.jafc.8b01645</w:t>
      </w:r>
    </w:p>
    <w:p w14:paraId="75152874"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Liu, Z., Huang, Y., Jiao, Y., Chen, Q., Wu, D., Yu, P., Li, Y., Cai, M., Zhao, Y., 2020. Polystyrene nanoplastic induces ROS production and affects the MAPK-HIF-1/NFkB-mediated antioxidant system in Daphnia pulex. Aquat. Toxicol. 220, 105420. https://doi.org/10.1016/j.aquatox.2020.105420</w:t>
      </w:r>
    </w:p>
    <w:p w14:paraId="47BDD78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Lushchak, V.I., 2011. Environmentally induced oxidative stress in aquatic animals. Aquat. Toxicol. 101, 13–30. https://doi.org/10.1016/j.aquatox.2010.10.006</w:t>
      </w:r>
    </w:p>
    <w:p w14:paraId="5902841A"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Mai, W.J., Yan, J.L., Wang, L., Zheng, Y., Xin, Y., Wang, W.N., 2010. Acute acidic exposure induces p53-mediated oxidative stress and DNA damage in tilapia (</w:t>
      </w:r>
      <w:r w:rsidRPr="0083523B">
        <w:rPr>
          <w:rFonts w:ascii="Times New Roman" w:hAnsi="Times New Roman" w:cs="Times New Roman"/>
          <w:i/>
          <w:iCs/>
          <w:noProof/>
          <w:kern w:val="0"/>
          <w:sz w:val="20"/>
          <w:szCs w:val="24"/>
        </w:rPr>
        <w:t>Oreochromis niloticus</w:t>
      </w:r>
      <w:r w:rsidRPr="001F33E1">
        <w:rPr>
          <w:rFonts w:ascii="Times New Roman" w:hAnsi="Times New Roman" w:cs="Times New Roman"/>
          <w:noProof/>
          <w:kern w:val="0"/>
          <w:sz w:val="20"/>
          <w:szCs w:val="24"/>
        </w:rPr>
        <w:t>) blood cells. Aquat. Toxicol. 100, 271–281. https://doi.org/10.1016/j.aquatox.2010.07.025</w:t>
      </w:r>
    </w:p>
    <w:p w14:paraId="5092B16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Papadimitriou, E., Loumbourdis, N.S., 2002. Exposure of the frog Rana ridibunda to copper: Impact on two biomarkers, lipid peroxidation, and glutathione. Bull. Environ. Contam. Toxicol. 69, 885–891. https://doi.org/10.1007/s00128-002-0142-2</w:t>
      </w:r>
    </w:p>
    <w:p w14:paraId="26ACEC6D"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Park, S., Lee, J.Y., Park, H., Song, G., Lim, W., 2020. Bifenthrin induces developmental immunotoxicity and vascular malformation during zebrafish embryogenesis. Comp. Biochem. Physiol. Part - C Toxicol. Pharmacol. 228, 108671. https://doi.org/10.1016/j.cbpc.2019.108671</w:t>
      </w:r>
    </w:p>
    <w:p w14:paraId="52F6DEEC"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Porte Visa, C., van den Brink, N., van der Oost, R., 2005. Biomarkers in environmental assessment, in: Biological Testing in Marine &amp; Freshwaters: Trends, Relevance and Linkages to Ecosystem Health. pp. 87–152. https://doi.org/10.1201/9781420037500.ch3</w:t>
      </w:r>
    </w:p>
    <w:p w14:paraId="63D2EEF4"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Prokić, M.D., Radovanović, T.B., Gavrić, J.P., Faggio, C., 2019. Ecotoxicological effects of microplastics: Examination of biomarkers, current state and future perspectives. TrAC - Trends Anal. Chem. 111, 37–46. https://doi.org/10.1016/j.trac.2018.12.001</w:t>
      </w:r>
    </w:p>
    <w:p w14:paraId="2E260412"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R. Reed, J., F. Cawley, G., L. Backes, W., 2011. Inhibition of Cytochrome P450 1A2-Mediated Metabolism and Production of Reactive Oxygen Species by Heme Oxygenase-1 in Rat Liver Microsomes. Drug Metab. Lett. 5, 6–16. https://doi.org/10.2174/187231211794455253</w:t>
      </w:r>
    </w:p>
    <w:p w14:paraId="037702EE"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Rawn, D.F.K., Judge, J., Roscoe, V., 2010. Application of the QuEChERS method for the analysis of pyrethrins and pyrethroids in fish tissues. Anal. Bioanal. Chem. 397, 2525–2531. https://doi.org/10.1007/s00216-010-3786-5</w:t>
      </w:r>
    </w:p>
    <w:p w14:paraId="07B81684"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Selvaraj, V., Armistead, M.Y., Cohenford, M., Murray, E., 2013. Arsenic trioxide (As2O3) induces apoptosis and necrosis mediated cell death through mitochondrial membrane potential damage and elevated production of reactive oxygen species in PLHC-1 fish cell line. Chemosphere 90, 1201–1209. https://doi.org/10.1016/j.chemosphere.2012.09.039</w:t>
      </w:r>
    </w:p>
    <w:p w14:paraId="3C448651"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Song, P., Gao, J., Li, X., Zhang, C., Zhu, L., Wang, Jinhua, Wang, Jun, 2019. Phthalate induced oxidative stress and DNA damage in earthworms (</w:t>
      </w:r>
      <w:r w:rsidRPr="0083523B">
        <w:rPr>
          <w:rFonts w:ascii="Times New Roman" w:hAnsi="Times New Roman" w:cs="Times New Roman"/>
          <w:i/>
          <w:iCs/>
          <w:noProof/>
          <w:kern w:val="0"/>
          <w:sz w:val="20"/>
          <w:szCs w:val="24"/>
        </w:rPr>
        <w:t>Eisenia fetida</w:t>
      </w:r>
      <w:r w:rsidRPr="001F33E1">
        <w:rPr>
          <w:rFonts w:ascii="Times New Roman" w:hAnsi="Times New Roman" w:cs="Times New Roman"/>
          <w:noProof/>
          <w:kern w:val="0"/>
          <w:sz w:val="20"/>
          <w:szCs w:val="24"/>
        </w:rPr>
        <w:t>). Environ. Int. 129, 10–17. https://doi.org/10.1016/j.envint.2019.04.074</w:t>
      </w:r>
    </w:p>
    <w:p w14:paraId="2BE1AC64"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Sun, Y., Zhu, B., Ling, S., Yan, B., Wang, X., Jia, S., Martyniuk, C.J., Zhang, W., Yang, L., Zhou, B., 2022. Decabromodiphenyl Ethane Mainly Affected the Muscle Contraction and Reproductive Endocrine System in Female Adult Zebrafish. Environ. Sci. Technol. 56, 470–479. https://doi.org/10.1021/acs.est.1c06679</w:t>
      </w:r>
    </w:p>
    <w:p w14:paraId="0B9F3F70"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Syed, F., Awasthi, K.K., Chandravanshi, L.P., Verma, R., Rajawat, N.K., Khanna, V.K., John, P.J., Soni, I., 2018. Bifenthrin-induced neurotoxicity in rats: Involvement of oxidative stress. Toxicol. Res. (Camb). 7, 48–58. https://doi.org/10.1039/c7tx00205j</w:t>
      </w:r>
    </w:p>
    <w:p w14:paraId="77516D9F"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Tanaka, N., Aoyama, T., Kimura, S., Gonzalez, F.J., 2017. Targeting nuclear receptors for the </w:t>
      </w:r>
      <w:r w:rsidRPr="001F33E1">
        <w:rPr>
          <w:rFonts w:ascii="Times New Roman" w:hAnsi="Times New Roman" w:cs="Times New Roman"/>
          <w:noProof/>
          <w:kern w:val="0"/>
          <w:sz w:val="20"/>
          <w:szCs w:val="24"/>
        </w:rPr>
        <w:lastRenderedPageBreak/>
        <w:t>treatment of fatty liver disease. Pharmacol. Ther. 179, 142–157. https://doi.org/10.1016/j.pharmthera.2017.05.011</w:t>
      </w:r>
    </w:p>
    <w:p w14:paraId="09E766F9" w14:textId="2AF5701C"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Tilak, K.S., Veeraiah, K., Vardhan, K.S., 2003. Toxicity and </w:t>
      </w:r>
      <w:r w:rsidR="00012E50">
        <w:rPr>
          <w:rFonts w:ascii="Times New Roman" w:hAnsi="Times New Roman" w:cs="Times New Roman"/>
          <w:noProof/>
          <w:kern w:val="0"/>
          <w:sz w:val="20"/>
          <w:szCs w:val="24"/>
        </w:rPr>
        <w:t>r</w:t>
      </w:r>
      <w:r w:rsidR="00012E50" w:rsidRPr="001F33E1">
        <w:rPr>
          <w:rFonts w:ascii="Times New Roman" w:hAnsi="Times New Roman" w:cs="Times New Roman"/>
          <w:noProof/>
          <w:kern w:val="0"/>
          <w:sz w:val="20"/>
          <w:szCs w:val="24"/>
        </w:rPr>
        <w:t xml:space="preserve">esidue </w:t>
      </w:r>
      <w:r w:rsidR="00012E50">
        <w:rPr>
          <w:rFonts w:ascii="Times New Roman" w:hAnsi="Times New Roman" w:cs="Times New Roman"/>
          <w:noProof/>
          <w:kern w:val="0"/>
          <w:sz w:val="20"/>
          <w:szCs w:val="24"/>
        </w:rPr>
        <w:t>s</w:t>
      </w:r>
      <w:r w:rsidR="00012E50" w:rsidRPr="001F33E1">
        <w:rPr>
          <w:rFonts w:ascii="Times New Roman" w:hAnsi="Times New Roman" w:cs="Times New Roman"/>
          <w:noProof/>
          <w:kern w:val="0"/>
          <w:sz w:val="20"/>
          <w:szCs w:val="24"/>
        </w:rPr>
        <w:t xml:space="preserve">tudies </w:t>
      </w:r>
      <w:r w:rsidRPr="001F33E1">
        <w:rPr>
          <w:rFonts w:ascii="Times New Roman" w:hAnsi="Times New Roman" w:cs="Times New Roman"/>
          <w:noProof/>
          <w:kern w:val="0"/>
          <w:sz w:val="20"/>
          <w:szCs w:val="24"/>
        </w:rPr>
        <w:t xml:space="preserve">of </w:t>
      </w:r>
      <w:r w:rsidR="00012E50">
        <w:rPr>
          <w:rFonts w:ascii="Times New Roman" w:hAnsi="Times New Roman" w:cs="Times New Roman"/>
          <w:noProof/>
          <w:kern w:val="0"/>
          <w:sz w:val="20"/>
          <w:szCs w:val="24"/>
        </w:rPr>
        <w:t>f</w:t>
      </w:r>
      <w:r w:rsidR="00012E50" w:rsidRPr="001F33E1">
        <w:rPr>
          <w:rFonts w:ascii="Times New Roman" w:hAnsi="Times New Roman" w:cs="Times New Roman"/>
          <w:noProof/>
          <w:kern w:val="0"/>
          <w:sz w:val="20"/>
          <w:szCs w:val="24"/>
        </w:rPr>
        <w:t xml:space="preserve">envalerate </w:t>
      </w:r>
      <w:r w:rsidRPr="001F33E1">
        <w:rPr>
          <w:rFonts w:ascii="Times New Roman" w:hAnsi="Times New Roman" w:cs="Times New Roman"/>
          <w:noProof/>
          <w:kern w:val="0"/>
          <w:sz w:val="20"/>
          <w:szCs w:val="24"/>
        </w:rPr>
        <w:t xml:space="preserve">to the </w:t>
      </w:r>
      <w:r w:rsidR="00012E50">
        <w:rPr>
          <w:rFonts w:ascii="Times New Roman" w:hAnsi="Times New Roman" w:cs="Times New Roman"/>
          <w:noProof/>
          <w:kern w:val="0"/>
          <w:sz w:val="20"/>
          <w:szCs w:val="24"/>
        </w:rPr>
        <w:t>f</w:t>
      </w:r>
      <w:r w:rsidR="00012E50" w:rsidRPr="001F33E1">
        <w:rPr>
          <w:rFonts w:ascii="Times New Roman" w:hAnsi="Times New Roman" w:cs="Times New Roman"/>
          <w:noProof/>
          <w:kern w:val="0"/>
          <w:sz w:val="20"/>
          <w:szCs w:val="24"/>
        </w:rPr>
        <w:t xml:space="preserve">reshwater </w:t>
      </w:r>
      <w:r w:rsidR="00012E50">
        <w:rPr>
          <w:rFonts w:ascii="Times New Roman" w:hAnsi="Times New Roman" w:cs="Times New Roman"/>
          <w:noProof/>
          <w:kern w:val="0"/>
          <w:sz w:val="20"/>
          <w:szCs w:val="24"/>
        </w:rPr>
        <w:t>f</w:t>
      </w:r>
      <w:r w:rsidR="00012E50" w:rsidRPr="001F33E1">
        <w:rPr>
          <w:rFonts w:ascii="Times New Roman" w:hAnsi="Times New Roman" w:cs="Times New Roman"/>
          <w:noProof/>
          <w:kern w:val="0"/>
          <w:sz w:val="20"/>
          <w:szCs w:val="24"/>
        </w:rPr>
        <w:t xml:space="preserve">ish </w:t>
      </w:r>
      <w:r w:rsidR="00327066">
        <w:rPr>
          <w:rFonts w:ascii="Times New Roman" w:hAnsi="Times New Roman" w:cs="Times New Roman"/>
          <w:i/>
          <w:iCs/>
          <w:noProof/>
          <w:kern w:val="0"/>
          <w:sz w:val="20"/>
          <w:szCs w:val="24"/>
        </w:rPr>
        <w:t>C</w:t>
      </w:r>
      <w:r w:rsidR="00012E50" w:rsidRPr="0083523B">
        <w:rPr>
          <w:rFonts w:ascii="Times New Roman" w:hAnsi="Times New Roman" w:cs="Times New Roman"/>
          <w:i/>
          <w:iCs/>
          <w:noProof/>
          <w:kern w:val="0"/>
          <w:sz w:val="20"/>
          <w:szCs w:val="24"/>
        </w:rPr>
        <w:t xml:space="preserve">hanna </w:t>
      </w:r>
      <w:r w:rsidRPr="0083523B">
        <w:rPr>
          <w:rFonts w:ascii="Times New Roman" w:hAnsi="Times New Roman" w:cs="Times New Roman"/>
          <w:i/>
          <w:iCs/>
          <w:noProof/>
          <w:kern w:val="0"/>
          <w:sz w:val="20"/>
          <w:szCs w:val="24"/>
        </w:rPr>
        <w:t>punctatus</w:t>
      </w:r>
      <w:r w:rsidRPr="001F33E1">
        <w:rPr>
          <w:rFonts w:ascii="Times New Roman" w:hAnsi="Times New Roman" w:cs="Times New Roman"/>
          <w:noProof/>
          <w:kern w:val="0"/>
          <w:sz w:val="20"/>
          <w:szCs w:val="24"/>
        </w:rPr>
        <w:t xml:space="preserve"> (Bloch). Bull. Environ. Contam. Toxicol. 71, 1207–1212. https://doi.org/10.1007/s00128-003-8676-5</w:t>
      </w:r>
    </w:p>
    <w:p w14:paraId="0D661BD4"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Ullah, S., Hasan, Z., Zorriehzahra, M.J., Ahmad, S., 2017. Diagnosis of endosulfan induced DNA damage in rohu (</w:t>
      </w:r>
      <w:r w:rsidRPr="0083523B">
        <w:rPr>
          <w:rFonts w:ascii="Times New Roman" w:hAnsi="Times New Roman" w:cs="Times New Roman"/>
          <w:i/>
          <w:iCs/>
          <w:noProof/>
          <w:kern w:val="0"/>
          <w:sz w:val="20"/>
          <w:szCs w:val="24"/>
        </w:rPr>
        <w:t>Labeo rohita</w:t>
      </w:r>
      <w:r w:rsidRPr="001F33E1">
        <w:rPr>
          <w:rFonts w:ascii="Times New Roman" w:hAnsi="Times New Roman" w:cs="Times New Roman"/>
          <w:noProof/>
          <w:kern w:val="0"/>
          <w:sz w:val="20"/>
          <w:szCs w:val="24"/>
        </w:rPr>
        <w:t>, Hamilton) using comet assay. Iran. J. Fish. Sci. 16, 138–149. https://doi.org/10.22092/IJFS.2018.114646</w:t>
      </w:r>
    </w:p>
    <w:p w14:paraId="21463E6D"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Ullah, S., Li, Z., Hasan, Z., Khan, S.U., Fahad, S., 2018. Malathion induced oxidative stress leads to histopathological and biochemical toxicity in the liver of rohu (</w:t>
      </w:r>
      <w:r w:rsidRPr="0083523B">
        <w:rPr>
          <w:rFonts w:ascii="Times New Roman" w:hAnsi="Times New Roman" w:cs="Times New Roman"/>
          <w:i/>
          <w:iCs/>
          <w:noProof/>
          <w:kern w:val="0"/>
          <w:sz w:val="20"/>
          <w:szCs w:val="24"/>
        </w:rPr>
        <w:t>Labeo rohita</w:t>
      </w:r>
      <w:r w:rsidRPr="001F33E1">
        <w:rPr>
          <w:rFonts w:ascii="Times New Roman" w:hAnsi="Times New Roman" w:cs="Times New Roman"/>
          <w:noProof/>
          <w:kern w:val="0"/>
          <w:sz w:val="20"/>
          <w:szCs w:val="24"/>
        </w:rPr>
        <w:t>, Hamilton) at acute concentration. Ecotoxicol. Environ. Saf. 161, 270–280. https://doi.org/10.1016/j.ecoenv.2018.06.002</w:t>
      </w:r>
    </w:p>
    <w:p w14:paraId="1ED5AE1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Valavanidis, A., Vlachogianni, T., Fiotakis, C., 2009. 8-Hydroxy-2′-deoxyguanosine (8-OHdG): A critical biomarker of oxidative stress and carcinogenesis. J. Environ. Sci. Heal. - Part C Environ. Carcinog. Ecotoxicol. Rev. 27, 120–139. https://doi.org/10.1080/10590500902885684</w:t>
      </w:r>
    </w:p>
    <w:p w14:paraId="0684A809"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Velisek, J., Wlasow, T., Gomulka, P., Svobodova, Z., Dobsikova, R., Novotny, L., Dudzik, M., 2006. Effects of cypermethrin on rainbow trout (</w:t>
      </w:r>
      <w:r w:rsidRPr="0083523B">
        <w:rPr>
          <w:rFonts w:ascii="Times New Roman" w:hAnsi="Times New Roman" w:cs="Times New Roman"/>
          <w:i/>
          <w:iCs/>
          <w:noProof/>
          <w:kern w:val="0"/>
          <w:sz w:val="20"/>
          <w:szCs w:val="24"/>
        </w:rPr>
        <w:t>Oncorhynchus mykiss</w:t>
      </w:r>
      <w:r w:rsidRPr="001F33E1">
        <w:rPr>
          <w:rFonts w:ascii="Times New Roman" w:hAnsi="Times New Roman" w:cs="Times New Roman"/>
          <w:noProof/>
          <w:kern w:val="0"/>
          <w:sz w:val="20"/>
          <w:szCs w:val="24"/>
        </w:rPr>
        <w:t>). Vet. Med. (Praha). 51, 469–476. https://doi.org/10.17221/5580-VETMED</w:t>
      </w:r>
    </w:p>
    <w:p w14:paraId="2A2F2887"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Wang, M., Zhao, J., Wu, L., Ma, T., 2021. Effects of 4-epianhydrotetracycline on oxidative stress in zebrafish (</w:t>
      </w:r>
      <w:r w:rsidRPr="0083523B">
        <w:rPr>
          <w:rFonts w:ascii="Times New Roman" w:hAnsi="Times New Roman" w:cs="Times New Roman"/>
          <w:i/>
          <w:iCs/>
          <w:noProof/>
          <w:kern w:val="0"/>
          <w:sz w:val="20"/>
          <w:szCs w:val="24"/>
        </w:rPr>
        <w:t>Danio rerio</w:t>
      </w:r>
      <w:r w:rsidRPr="001F33E1">
        <w:rPr>
          <w:rFonts w:ascii="Times New Roman" w:hAnsi="Times New Roman" w:cs="Times New Roman"/>
          <w:noProof/>
          <w:kern w:val="0"/>
          <w:sz w:val="20"/>
          <w:szCs w:val="24"/>
        </w:rPr>
        <w:t>) embryos. Sci. Total Environ. 796, 149047. https://doi.org/10.1016/j.scitotenv.2021.149047</w:t>
      </w:r>
    </w:p>
    <w:p w14:paraId="6E3292EA" w14:textId="2AE8BA1D"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Yan, S.H., Wang, J.H., Zhu, L.S., Chen, A.M., Wang, J., </w:t>
      </w:r>
      <w:r w:rsidR="00663A29" w:rsidRPr="001F33E1">
        <w:rPr>
          <w:rFonts w:ascii="Times New Roman" w:hAnsi="Times New Roman" w:cs="Times New Roman"/>
          <w:noProof/>
          <w:kern w:val="0"/>
          <w:sz w:val="20"/>
          <w:szCs w:val="24"/>
        </w:rPr>
        <w:t>201</w:t>
      </w:r>
      <w:r w:rsidR="00663A29">
        <w:rPr>
          <w:rFonts w:ascii="Times New Roman" w:hAnsi="Times New Roman" w:cs="Times New Roman"/>
          <w:noProof/>
          <w:kern w:val="0"/>
          <w:sz w:val="20"/>
          <w:szCs w:val="24"/>
        </w:rPr>
        <w:t>6</w:t>
      </w:r>
      <w:r w:rsidRPr="001F33E1">
        <w:rPr>
          <w:rFonts w:ascii="Times New Roman" w:hAnsi="Times New Roman" w:cs="Times New Roman"/>
          <w:noProof/>
          <w:kern w:val="0"/>
          <w:sz w:val="20"/>
          <w:szCs w:val="24"/>
        </w:rPr>
        <w:t xml:space="preserve">. </w:t>
      </w:r>
      <w:r w:rsidR="00B012FD" w:rsidRPr="00B012FD">
        <w:rPr>
          <w:rFonts w:ascii="Times New Roman" w:hAnsi="Times New Roman" w:cs="Times New Roman"/>
          <w:noProof/>
          <w:kern w:val="0"/>
          <w:sz w:val="20"/>
          <w:szCs w:val="24"/>
        </w:rPr>
        <w:t>Thiamethoxam Induces Oxidative Stress and Antioxidant Response in Zebrafish (</w:t>
      </w:r>
      <w:r w:rsidR="00B012FD" w:rsidRPr="0083523B">
        <w:rPr>
          <w:rFonts w:ascii="Times New Roman" w:hAnsi="Times New Roman" w:cs="Times New Roman"/>
          <w:i/>
          <w:iCs/>
          <w:noProof/>
          <w:kern w:val="0"/>
          <w:sz w:val="20"/>
          <w:szCs w:val="24"/>
        </w:rPr>
        <w:t>Danio Rerio</w:t>
      </w:r>
      <w:r w:rsidR="00B012FD" w:rsidRPr="00B012FD">
        <w:rPr>
          <w:rFonts w:ascii="Times New Roman" w:hAnsi="Times New Roman" w:cs="Times New Roman"/>
          <w:noProof/>
          <w:kern w:val="0"/>
          <w:sz w:val="20"/>
          <w:szCs w:val="24"/>
        </w:rPr>
        <w:t>) Livers</w:t>
      </w:r>
      <w:r w:rsidRPr="001F33E1">
        <w:rPr>
          <w:rFonts w:ascii="Times New Roman" w:hAnsi="Times New Roman" w:cs="Times New Roman"/>
          <w:noProof/>
          <w:kern w:val="0"/>
          <w:sz w:val="20"/>
          <w:szCs w:val="24"/>
        </w:rPr>
        <w:t xml:space="preserve">. </w:t>
      </w:r>
      <w:r w:rsidR="00074E65" w:rsidRPr="0083523B">
        <w:rPr>
          <w:rFonts w:ascii="Times New Roman" w:hAnsi="Times New Roman" w:cs="Times New Roman"/>
          <w:noProof/>
          <w:kern w:val="0"/>
          <w:sz w:val="20"/>
          <w:szCs w:val="24"/>
        </w:rPr>
        <w:t>Environ Toxicol.</w:t>
      </w:r>
      <w:r w:rsidR="00663A29">
        <w:rPr>
          <w:rFonts w:ascii="Times New Roman" w:hAnsi="Times New Roman" w:cs="Times New Roman"/>
          <w:noProof/>
          <w:kern w:val="0"/>
          <w:sz w:val="20"/>
          <w:szCs w:val="24"/>
        </w:rPr>
        <w:t xml:space="preserve"> </w:t>
      </w:r>
      <w:r w:rsidR="00074E65" w:rsidRPr="0083523B">
        <w:rPr>
          <w:rFonts w:ascii="Times New Roman" w:hAnsi="Times New Roman" w:cs="Times New Roman"/>
          <w:noProof/>
          <w:kern w:val="0"/>
          <w:sz w:val="20"/>
          <w:szCs w:val="24"/>
        </w:rPr>
        <w:t xml:space="preserve">31(12):2006-2015. </w:t>
      </w:r>
      <w:r w:rsidR="00074E65" w:rsidRPr="001F33E1">
        <w:rPr>
          <w:rFonts w:ascii="Times New Roman" w:hAnsi="Times New Roman" w:cs="Times New Roman"/>
          <w:noProof/>
          <w:kern w:val="0"/>
          <w:sz w:val="20"/>
          <w:szCs w:val="24"/>
        </w:rPr>
        <w:t>https://doi.org/</w:t>
      </w:r>
      <w:r w:rsidR="00074E65" w:rsidRPr="0083523B">
        <w:rPr>
          <w:rFonts w:ascii="Times New Roman" w:hAnsi="Times New Roman" w:cs="Times New Roman"/>
          <w:noProof/>
          <w:kern w:val="0"/>
          <w:sz w:val="20"/>
          <w:szCs w:val="24"/>
        </w:rPr>
        <w:t>10.1002/tox.22201. </w:t>
      </w:r>
    </w:p>
    <w:p w14:paraId="253B0CFA"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Yang, Y., Wu, N., Wang, C., 2018. Toxicity of the pyrethroid bifenthrin insecticide. Environ. Chem. Lett. 16, 1377–1391. https://doi.org/10.1007/s10311-018-0765-0</w:t>
      </w:r>
    </w:p>
    <w:p w14:paraId="656D90EF"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Yu, P., Liu, Z., Wu, D., Chen, M., Lv, W., Zhao, Y., 2018. Accumulation of polystyrene microplastics in juvenile </w:t>
      </w:r>
      <w:r w:rsidRPr="0083523B">
        <w:rPr>
          <w:rFonts w:ascii="Times New Roman" w:hAnsi="Times New Roman" w:cs="Times New Roman"/>
          <w:i/>
          <w:iCs/>
          <w:noProof/>
          <w:kern w:val="0"/>
          <w:sz w:val="20"/>
          <w:szCs w:val="24"/>
        </w:rPr>
        <w:t>Eriocheir sinensis</w:t>
      </w:r>
      <w:r w:rsidRPr="001F33E1">
        <w:rPr>
          <w:rFonts w:ascii="Times New Roman" w:hAnsi="Times New Roman" w:cs="Times New Roman"/>
          <w:noProof/>
          <w:kern w:val="0"/>
          <w:sz w:val="20"/>
          <w:szCs w:val="24"/>
        </w:rPr>
        <w:t xml:space="preserve"> and oxidative stress effects in the liver. Aquat. Toxicol. 200, 28–36. https://doi.org/10.1016/j.aquatox.2018.04.015</w:t>
      </w:r>
    </w:p>
    <w:p w14:paraId="375E10EB"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 xml:space="preserve">Zhang, C., Zhang, J., Zhu, L., Du, Z., Wang, Jun, Wang, Jinhua, Li, B., Yang, Y., 2020. Fluoxastrobin-induced effects on acute toxicity, development toxicity, oxidative stress, and DNA damage in </w:t>
      </w:r>
      <w:r w:rsidRPr="0083523B">
        <w:rPr>
          <w:rFonts w:ascii="Times New Roman" w:hAnsi="Times New Roman" w:cs="Times New Roman"/>
          <w:i/>
          <w:iCs/>
          <w:noProof/>
          <w:kern w:val="0"/>
          <w:sz w:val="20"/>
          <w:szCs w:val="24"/>
        </w:rPr>
        <w:t>Danio rerio</w:t>
      </w:r>
      <w:r w:rsidRPr="001F33E1">
        <w:rPr>
          <w:rFonts w:ascii="Times New Roman" w:hAnsi="Times New Roman" w:cs="Times New Roman"/>
          <w:noProof/>
          <w:kern w:val="0"/>
          <w:sz w:val="20"/>
          <w:szCs w:val="24"/>
        </w:rPr>
        <w:t xml:space="preserve"> embryos. Sci. Total Environ. 715, 137069. https://doi.org/10.1016/j.scitotenv.2020.137069</w:t>
      </w:r>
    </w:p>
    <w:p w14:paraId="2EBBD705" w14:textId="77777777" w:rsidR="001F33E1" w:rsidRPr="001F33E1" w:rsidRDefault="001F33E1" w:rsidP="001F33E1">
      <w:pPr>
        <w:autoSpaceDE w:val="0"/>
        <w:autoSpaceDN w:val="0"/>
        <w:adjustRightInd w:val="0"/>
        <w:ind w:left="480" w:hanging="480"/>
        <w:jc w:val="left"/>
        <w:rPr>
          <w:rFonts w:ascii="Times New Roman" w:hAnsi="Times New Roman" w:cs="Times New Roman"/>
          <w:noProof/>
          <w:kern w:val="0"/>
          <w:sz w:val="20"/>
          <w:szCs w:val="24"/>
        </w:rPr>
      </w:pPr>
      <w:r w:rsidRPr="001F33E1">
        <w:rPr>
          <w:rFonts w:ascii="Times New Roman" w:hAnsi="Times New Roman" w:cs="Times New Roman"/>
          <w:noProof/>
          <w:kern w:val="0"/>
          <w:sz w:val="20"/>
          <w:szCs w:val="24"/>
        </w:rPr>
        <w:t>Zhang, H., Hong, X., Yan, S., Zha, J., Qin, J., 2020. Environmentally relevant concentrations of bifenthrin induce changes in behaviour, biomarkers, histological characteristics, and the transcriptome in Corbicula fluminea. Sci. Total Environ. 728, 138821. https://doi.org/10.1016/j.scitotenv.2020.138821</w:t>
      </w:r>
    </w:p>
    <w:p w14:paraId="7734B7E0" w14:textId="77777777" w:rsidR="001F33E1" w:rsidRPr="001F33E1" w:rsidRDefault="001F33E1" w:rsidP="001F33E1">
      <w:pPr>
        <w:autoSpaceDE w:val="0"/>
        <w:autoSpaceDN w:val="0"/>
        <w:adjustRightInd w:val="0"/>
        <w:ind w:left="480" w:hanging="480"/>
        <w:jc w:val="left"/>
        <w:rPr>
          <w:rFonts w:ascii="Times New Roman" w:hAnsi="Times New Roman" w:cs="Times New Roman"/>
          <w:noProof/>
          <w:sz w:val="20"/>
        </w:rPr>
      </w:pPr>
      <w:r w:rsidRPr="001F33E1">
        <w:rPr>
          <w:rFonts w:ascii="Times New Roman" w:hAnsi="Times New Roman" w:cs="Times New Roman"/>
          <w:noProof/>
          <w:kern w:val="0"/>
          <w:sz w:val="20"/>
          <w:szCs w:val="24"/>
        </w:rPr>
        <w:t>Zhang, T., Yan, Z., Zheng, X., Fan, J., Wang, S., Wei, Y., Yang, L., Wang, P., Guo, S., 2019. Transcriptome analysis of response mechanism to ammonia stress in Asian clam (</w:t>
      </w:r>
      <w:r w:rsidRPr="0083523B">
        <w:rPr>
          <w:rFonts w:ascii="Times New Roman" w:hAnsi="Times New Roman" w:cs="Times New Roman"/>
          <w:i/>
          <w:iCs/>
          <w:noProof/>
          <w:kern w:val="0"/>
          <w:sz w:val="20"/>
          <w:szCs w:val="24"/>
        </w:rPr>
        <w:t>Corbicula fluminea</w:t>
      </w:r>
      <w:r w:rsidRPr="001F33E1">
        <w:rPr>
          <w:rFonts w:ascii="Times New Roman" w:hAnsi="Times New Roman" w:cs="Times New Roman"/>
          <w:noProof/>
          <w:kern w:val="0"/>
          <w:sz w:val="20"/>
          <w:szCs w:val="24"/>
        </w:rPr>
        <w:t>). Aquat. Toxicol. 214, 105235. https://doi.org/10.1016/j.aquatox.2019.105235</w:t>
      </w:r>
    </w:p>
    <w:p w14:paraId="617F38FE" w14:textId="07A91BEF" w:rsidR="00950088" w:rsidRDefault="001F33E1" w:rsidP="0083523B">
      <w:pPr>
        <w:widowControl/>
        <w:jc w:val="left"/>
        <w:rPr>
          <w:rFonts w:ascii="Times New Roman" w:hAnsi="Times New Roman" w:cs="Times New Roman"/>
          <w:kern w:val="0"/>
          <w:szCs w:val="21"/>
        </w:rPr>
      </w:pPr>
      <w:r>
        <w:rPr>
          <w:rFonts w:ascii="Times New Roman" w:hAnsi="Times New Roman" w:cs="Times New Roman"/>
          <w:kern w:val="0"/>
          <w:szCs w:val="21"/>
        </w:rPr>
        <w:fldChar w:fldCharType="end"/>
      </w:r>
    </w:p>
    <w:sectPr w:rsidR="00950088" w:rsidSect="0083523B">
      <w:footerReference w:type="first" r:id="rId14"/>
      <w:pgSz w:w="11906" w:h="16838"/>
      <w:pgMar w:top="1440" w:right="1800" w:bottom="1440" w:left="1800" w:header="851" w:footer="992"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C86C1" w14:textId="77777777" w:rsidR="006C6E86" w:rsidRDefault="006C6E86">
      <w:r>
        <w:separator/>
      </w:r>
    </w:p>
  </w:endnote>
  <w:endnote w:type="continuationSeparator" w:id="0">
    <w:p w14:paraId="4A85DBA9" w14:textId="77777777" w:rsidR="006C6E86" w:rsidRDefault="006C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Arial"/>
    <w:panose1 w:val="020F0502020204030204"/>
    <w:charset w:val="00"/>
    <w:family w:val="swiss"/>
    <w:pitch w:val="variable"/>
    <w:sig w:usb0="E0002AFF" w:usb1="C000247B" w:usb2="00000009" w:usb3="00000000" w:csb0="000001FF" w:csb1="00000000"/>
  </w:font>
  <w:font w:name="Latha">
    <w:panose1 w:val="02000400000000000000"/>
    <w:charset w:val="01"/>
    <w:family w:val="roman"/>
    <w:pitch w:val="variable"/>
    <w:sig w:usb0="00040000" w:usb1="00000000" w:usb2="00000000" w:usb3="00000000" w:csb0="00000000"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AdvOTce3d9a73">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D8FF1" w14:textId="3BE96101" w:rsidR="00950088" w:rsidRPr="00FC3758" w:rsidRDefault="00000000">
    <w:pPr>
      <w:pStyle w:val="a5"/>
      <w:rPr>
        <w:rFonts w:ascii="Times New Roman" w:hAnsi="Times New Roman" w:cs="Times New Roman"/>
        <w:lang w:val="en-CA"/>
      </w:rPr>
    </w:pPr>
    <w:r w:rsidRPr="00FC3758">
      <w:rPr>
        <w:rFonts w:ascii="Times New Roman" w:hAnsi="Times New Roman" w:cs="Times New Roman"/>
        <w:lang w:val="en-CA"/>
      </w:rPr>
      <w:t>Abbreviations: BF, bifenthrin; ROS, reactive oxygen species;</w:t>
    </w:r>
    <w:r>
      <w:rPr>
        <w:rFonts w:ascii="Times New Roman" w:hAnsi="Times New Roman" w:cs="Times New Roman"/>
        <w:lang w:val="en-CA"/>
      </w:rPr>
      <w:t xml:space="preserve"> CGS, Chinese giant salamanders; </w:t>
    </w:r>
    <w:r>
      <w:rPr>
        <w:rFonts w:ascii="Times New Roman" w:hAnsi="Times New Roman" w:cs="Times New Roman" w:hint="eastAsia"/>
      </w:rPr>
      <w:t xml:space="preserve">ATP, </w:t>
    </w:r>
    <w:r>
      <w:rPr>
        <w:rFonts w:ascii="Times New Roman" w:eastAsia="宋体" w:hAnsi="Times New Roman" w:cs="Times New Roman" w:hint="eastAsia"/>
        <w:szCs w:val="21"/>
      </w:rPr>
      <w:t>a</w:t>
    </w:r>
    <w:r>
      <w:rPr>
        <w:rFonts w:ascii="Times New Roman" w:eastAsia="宋体" w:hAnsi="Times New Roman" w:cs="Times New Roman"/>
        <w:szCs w:val="21"/>
      </w:rPr>
      <w:t>denosine-triphosphate</w:t>
    </w:r>
    <w:r>
      <w:rPr>
        <w:rFonts w:ascii="Times New Roman" w:eastAsia="宋体" w:hAnsi="Times New Roman" w:cs="Times New Roman" w:hint="eastAsia"/>
        <w:szCs w:val="21"/>
      </w:rPr>
      <w:t xml:space="preserve">; </w:t>
    </w:r>
    <w:r>
      <w:rPr>
        <w:rFonts w:ascii="Times New Roman" w:hAnsi="Times New Roman" w:cs="Times New Roman"/>
        <w:lang w:val="en-CA"/>
      </w:rPr>
      <w:t xml:space="preserve">SOD, superoxide dismutase; CAT, catalase; GSH, glutathione; MDA, malondialdehyde; 8-OHdG, </w:t>
    </w:r>
    <w:r>
      <w:rPr>
        <w:rFonts w:ascii="Times New Roman" w:hAnsi="Times New Roman" w:cs="Times New Roman" w:hint="eastAsia"/>
        <w:szCs w:val="21"/>
      </w:rPr>
      <w:t>8-</w:t>
    </w:r>
    <w:r>
      <w:rPr>
        <w:rFonts w:ascii="Times New Roman" w:hAnsi="Times New Roman" w:cs="Times New Roman"/>
        <w:szCs w:val="21"/>
      </w:rPr>
      <w:t>h</w:t>
    </w:r>
    <w:r>
      <w:rPr>
        <w:rFonts w:ascii="Times New Roman" w:hAnsi="Times New Roman" w:cs="Times New Roman" w:hint="eastAsia"/>
        <w:szCs w:val="21"/>
      </w:rPr>
      <w:t>ydroxydeoxyguanosine</w:t>
    </w:r>
    <w:r>
      <w:rPr>
        <w:rFonts w:ascii="Times New Roman" w:hAnsi="Times New Roman" w:cs="Times New Roman"/>
        <w:lang w:val="en-CA"/>
      </w:rPr>
      <w:t>;</w:t>
    </w:r>
    <w:r>
      <w:rPr>
        <w:rFonts w:ascii="Times New Roman" w:hAnsi="Times New Roman" w:cs="Times New Roman" w:hint="eastAsia"/>
      </w:rPr>
      <w:t xml:space="preserve"> </w:t>
    </w:r>
    <w:r>
      <w:rPr>
        <w:rFonts w:ascii="Times New Roman" w:hAnsi="Times New Roman" w:cs="Times New Roman"/>
        <w:lang w:val="en-CA"/>
      </w:rPr>
      <w:t>DMSO, dimethyl sulfoxide; DEG, differentially expressed gene; LC50, 50% lethal concentration;</w:t>
    </w:r>
    <w:r>
      <w:rPr>
        <w:rFonts w:ascii="Times New Roman" w:hAnsi="Times New Roman" w:cs="Times New Roman" w:hint="eastAsia"/>
      </w:rPr>
      <w:t xml:space="preserve"> </w:t>
    </w:r>
    <w:r>
      <w:rPr>
        <w:rFonts w:ascii="Times New Roman" w:hAnsi="Times New Roman" w:cs="Times New Roman" w:hint="eastAsia"/>
        <w:szCs w:val="21"/>
      </w:rPr>
      <w:t xml:space="preserve">SC, safe concentration; </w:t>
    </w:r>
    <w:r>
      <w:rPr>
        <w:rFonts w:ascii="Times New Roman" w:hAnsi="Times New Roman" w:cs="Times New Roman"/>
        <w:lang w:val="en-CA"/>
      </w:rPr>
      <w:t xml:space="preserve">PPAR, </w:t>
    </w:r>
    <w:r>
      <w:rPr>
        <w:rFonts w:ascii="Times New Roman" w:hAnsi="Times New Roman" w:cs="Times New Roman"/>
        <w:kern w:val="0"/>
        <w:szCs w:val="21"/>
      </w:rPr>
      <w:t>peroxisome proliferator-activated receptor</w:t>
    </w:r>
    <w:r w:rsidRPr="00FC3758">
      <w:rPr>
        <w:rFonts w:ascii="Times New Roman" w:hAnsi="Times New Roman" w:cs="Times New Roman"/>
        <w:lang w:val="en-C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FB40F" w14:textId="77777777" w:rsidR="006C6E86" w:rsidRDefault="006C6E86">
      <w:r>
        <w:separator/>
      </w:r>
    </w:p>
  </w:footnote>
  <w:footnote w:type="continuationSeparator" w:id="0">
    <w:p w14:paraId="1C673DF9" w14:textId="77777777" w:rsidR="006C6E86" w:rsidRDefault="006C6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030A1D"/>
    <w:multiLevelType w:val="hybridMultilevel"/>
    <w:tmpl w:val="2340A3E2"/>
    <w:lvl w:ilvl="0" w:tplc="1CCAB3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63F17EB"/>
    <w:multiLevelType w:val="multilevel"/>
    <w:tmpl w:val="763F17EB"/>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952861199">
    <w:abstractNumId w:val="1"/>
  </w:num>
  <w:num w:numId="2" w16cid:durableId="1308821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defaultTabStop w:val="420"/>
  <w:hyphenationZone w:val="357"/>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JjOGZjMTlhMmQ4NTFmN2U2MDljYzJiZDZjMTA1MTEifQ=="/>
  </w:docVars>
  <w:rsids>
    <w:rsidRoot w:val="151444B4"/>
    <w:rsid w:val="0000055B"/>
    <w:rsid w:val="000015EE"/>
    <w:rsid w:val="000036D1"/>
    <w:rsid w:val="00004122"/>
    <w:rsid w:val="000056BA"/>
    <w:rsid w:val="00006F23"/>
    <w:rsid w:val="00012B1B"/>
    <w:rsid w:val="00012E50"/>
    <w:rsid w:val="00014136"/>
    <w:rsid w:val="0002331C"/>
    <w:rsid w:val="00024FBD"/>
    <w:rsid w:val="000277C1"/>
    <w:rsid w:val="000353C4"/>
    <w:rsid w:val="00036519"/>
    <w:rsid w:val="00037FF7"/>
    <w:rsid w:val="0004209F"/>
    <w:rsid w:val="00044452"/>
    <w:rsid w:val="00050700"/>
    <w:rsid w:val="00053CF1"/>
    <w:rsid w:val="000569E2"/>
    <w:rsid w:val="00060019"/>
    <w:rsid w:val="00067FA0"/>
    <w:rsid w:val="000702F2"/>
    <w:rsid w:val="000703C3"/>
    <w:rsid w:val="00071962"/>
    <w:rsid w:val="000726A3"/>
    <w:rsid w:val="000738F0"/>
    <w:rsid w:val="000738F7"/>
    <w:rsid w:val="00074E65"/>
    <w:rsid w:val="00075159"/>
    <w:rsid w:val="0008445D"/>
    <w:rsid w:val="0008566C"/>
    <w:rsid w:val="000900DA"/>
    <w:rsid w:val="000903DA"/>
    <w:rsid w:val="000A2B82"/>
    <w:rsid w:val="000A3BEF"/>
    <w:rsid w:val="000A4EB7"/>
    <w:rsid w:val="000B055A"/>
    <w:rsid w:val="000B42E7"/>
    <w:rsid w:val="000B78F3"/>
    <w:rsid w:val="000C0CA6"/>
    <w:rsid w:val="000C301B"/>
    <w:rsid w:val="000C315A"/>
    <w:rsid w:val="000C37A6"/>
    <w:rsid w:val="000C5CF2"/>
    <w:rsid w:val="000C6DBC"/>
    <w:rsid w:val="000D1C63"/>
    <w:rsid w:val="000D38BF"/>
    <w:rsid w:val="000D4AB5"/>
    <w:rsid w:val="000E63D1"/>
    <w:rsid w:val="000E66EC"/>
    <w:rsid w:val="000E7039"/>
    <w:rsid w:val="000F0275"/>
    <w:rsid w:val="000F1CCC"/>
    <w:rsid w:val="000F37DD"/>
    <w:rsid w:val="000F5E9A"/>
    <w:rsid w:val="000F785B"/>
    <w:rsid w:val="00105043"/>
    <w:rsid w:val="00105E1A"/>
    <w:rsid w:val="0011640F"/>
    <w:rsid w:val="001171B8"/>
    <w:rsid w:val="00117CCA"/>
    <w:rsid w:val="00117EA3"/>
    <w:rsid w:val="00123442"/>
    <w:rsid w:val="0012368C"/>
    <w:rsid w:val="0013023B"/>
    <w:rsid w:val="00130742"/>
    <w:rsid w:val="00131B58"/>
    <w:rsid w:val="0013345E"/>
    <w:rsid w:val="001446DD"/>
    <w:rsid w:val="001461B9"/>
    <w:rsid w:val="0015605B"/>
    <w:rsid w:val="00157FFD"/>
    <w:rsid w:val="00164419"/>
    <w:rsid w:val="00164AC5"/>
    <w:rsid w:val="00165969"/>
    <w:rsid w:val="00166BCE"/>
    <w:rsid w:val="00170A1E"/>
    <w:rsid w:val="001727C0"/>
    <w:rsid w:val="001730FE"/>
    <w:rsid w:val="00180443"/>
    <w:rsid w:val="0018545C"/>
    <w:rsid w:val="001857AE"/>
    <w:rsid w:val="00186F64"/>
    <w:rsid w:val="00187EF3"/>
    <w:rsid w:val="00191517"/>
    <w:rsid w:val="001A09C1"/>
    <w:rsid w:val="001A185E"/>
    <w:rsid w:val="001A2B07"/>
    <w:rsid w:val="001A4A85"/>
    <w:rsid w:val="001B107F"/>
    <w:rsid w:val="001B1DB7"/>
    <w:rsid w:val="001B6975"/>
    <w:rsid w:val="001B78BC"/>
    <w:rsid w:val="001C040F"/>
    <w:rsid w:val="001C2230"/>
    <w:rsid w:val="001C52B9"/>
    <w:rsid w:val="001C62F4"/>
    <w:rsid w:val="001D159D"/>
    <w:rsid w:val="001D4CB4"/>
    <w:rsid w:val="001D5575"/>
    <w:rsid w:val="001D6954"/>
    <w:rsid w:val="001E1D43"/>
    <w:rsid w:val="001E30A1"/>
    <w:rsid w:val="001F2AB0"/>
    <w:rsid w:val="001F2D27"/>
    <w:rsid w:val="001F33E1"/>
    <w:rsid w:val="001F6751"/>
    <w:rsid w:val="001F73E6"/>
    <w:rsid w:val="002003AD"/>
    <w:rsid w:val="0020187D"/>
    <w:rsid w:val="0020200E"/>
    <w:rsid w:val="00202091"/>
    <w:rsid w:val="00203D5B"/>
    <w:rsid w:val="0020501C"/>
    <w:rsid w:val="00211B2C"/>
    <w:rsid w:val="00212917"/>
    <w:rsid w:val="00217A47"/>
    <w:rsid w:val="0022002A"/>
    <w:rsid w:val="0022031C"/>
    <w:rsid w:val="00223278"/>
    <w:rsid w:val="0022634A"/>
    <w:rsid w:val="00227F27"/>
    <w:rsid w:val="0023445C"/>
    <w:rsid w:val="0023542C"/>
    <w:rsid w:val="00236AC7"/>
    <w:rsid w:val="00254061"/>
    <w:rsid w:val="00254B67"/>
    <w:rsid w:val="002678B1"/>
    <w:rsid w:val="00271F18"/>
    <w:rsid w:val="002738C8"/>
    <w:rsid w:val="002739EC"/>
    <w:rsid w:val="00275E1E"/>
    <w:rsid w:val="00276F42"/>
    <w:rsid w:val="002823F0"/>
    <w:rsid w:val="00290981"/>
    <w:rsid w:val="00292999"/>
    <w:rsid w:val="00297F5F"/>
    <w:rsid w:val="002A058F"/>
    <w:rsid w:val="002A170C"/>
    <w:rsid w:val="002A4DE1"/>
    <w:rsid w:val="002A5E77"/>
    <w:rsid w:val="002A7F8A"/>
    <w:rsid w:val="002B0031"/>
    <w:rsid w:val="002B484E"/>
    <w:rsid w:val="002B65A7"/>
    <w:rsid w:val="002C0E73"/>
    <w:rsid w:val="002C114D"/>
    <w:rsid w:val="002C4F5E"/>
    <w:rsid w:val="002C5426"/>
    <w:rsid w:val="002C6545"/>
    <w:rsid w:val="002C7652"/>
    <w:rsid w:val="002D0C09"/>
    <w:rsid w:val="002D160A"/>
    <w:rsid w:val="002D308B"/>
    <w:rsid w:val="002D32A8"/>
    <w:rsid w:val="002D34F5"/>
    <w:rsid w:val="002D582D"/>
    <w:rsid w:val="002E0063"/>
    <w:rsid w:val="002E5E7D"/>
    <w:rsid w:val="002E705E"/>
    <w:rsid w:val="002E725A"/>
    <w:rsid w:val="002F71FA"/>
    <w:rsid w:val="002F7E1A"/>
    <w:rsid w:val="002F7F5E"/>
    <w:rsid w:val="0030424B"/>
    <w:rsid w:val="00305AD3"/>
    <w:rsid w:val="00307205"/>
    <w:rsid w:val="00313078"/>
    <w:rsid w:val="0031491F"/>
    <w:rsid w:val="00316C0A"/>
    <w:rsid w:val="003202F7"/>
    <w:rsid w:val="003205E5"/>
    <w:rsid w:val="00325275"/>
    <w:rsid w:val="003265EF"/>
    <w:rsid w:val="00327066"/>
    <w:rsid w:val="003332D8"/>
    <w:rsid w:val="0033392B"/>
    <w:rsid w:val="003360D1"/>
    <w:rsid w:val="00336D0E"/>
    <w:rsid w:val="00337CC2"/>
    <w:rsid w:val="003426AB"/>
    <w:rsid w:val="00344AB2"/>
    <w:rsid w:val="003456EE"/>
    <w:rsid w:val="00354CD4"/>
    <w:rsid w:val="003578AE"/>
    <w:rsid w:val="00360809"/>
    <w:rsid w:val="00366DD4"/>
    <w:rsid w:val="00374ADF"/>
    <w:rsid w:val="00376709"/>
    <w:rsid w:val="003775F5"/>
    <w:rsid w:val="00382514"/>
    <w:rsid w:val="00382C46"/>
    <w:rsid w:val="00383793"/>
    <w:rsid w:val="00386639"/>
    <w:rsid w:val="0039368F"/>
    <w:rsid w:val="0039382F"/>
    <w:rsid w:val="00394E70"/>
    <w:rsid w:val="00395671"/>
    <w:rsid w:val="003A224F"/>
    <w:rsid w:val="003A5110"/>
    <w:rsid w:val="003B14FF"/>
    <w:rsid w:val="003B3211"/>
    <w:rsid w:val="003B5B15"/>
    <w:rsid w:val="003B65BF"/>
    <w:rsid w:val="003C0DD0"/>
    <w:rsid w:val="003C1274"/>
    <w:rsid w:val="003C5C0F"/>
    <w:rsid w:val="003C6AE0"/>
    <w:rsid w:val="003C7172"/>
    <w:rsid w:val="003D5D83"/>
    <w:rsid w:val="003D7281"/>
    <w:rsid w:val="003D769E"/>
    <w:rsid w:val="003E17EC"/>
    <w:rsid w:val="003E2E73"/>
    <w:rsid w:val="003E4FA3"/>
    <w:rsid w:val="003F0B37"/>
    <w:rsid w:val="003F25D0"/>
    <w:rsid w:val="003F3DFB"/>
    <w:rsid w:val="00401C7B"/>
    <w:rsid w:val="004022DA"/>
    <w:rsid w:val="00403052"/>
    <w:rsid w:val="00403EFE"/>
    <w:rsid w:val="00404646"/>
    <w:rsid w:val="00405106"/>
    <w:rsid w:val="0040586C"/>
    <w:rsid w:val="00411FB5"/>
    <w:rsid w:val="004123EC"/>
    <w:rsid w:val="00417A5A"/>
    <w:rsid w:val="004201D5"/>
    <w:rsid w:val="00422263"/>
    <w:rsid w:val="004233E5"/>
    <w:rsid w:val="00424B08"/>
    <w:rsid w:val="00433796"/>
    <w:rsid w:val="00435217"/>
    <w:rsid w:val="00437A0B"/>
    <w:rsid w:val="004400C1"/>
    <w:rsid w:val="004455E7"/>
    <w:rsid w:val="00445D6D"/>
    <w:rsid w:val="00450DAB"/>
    <w:rsid w:val="00455840"/>
    <w:rsid w:val="004611E1"/>
    <w:rsid w:val="0046307B"/>
    <w:rsid w:val="004646F7"/>
    <w:rsid w:val="00465AB3"/>
    <w:rsid w:val="0047233A"/>
    <w:rsid w:val="00473BC3"/>
    <w:rsid w:val="004741D8"/>
    <w:rsid w:val="004742FA"/>
    <w:rsid w:val="0047473A"/>
    <w:rsid w:val="0047519F"/>
    <w:rsid w:val="0048243C"/>
    <w:rsid w:val="00485804"/>
    <w:rsid w:val="00485A1C"/>
    <w:rsid w:val="00486A58"/>
    <w:rsid w:val="0049190C"/>
    <w:rsid w:val="00492158"/>
    <w:rsid w:val="00493A4D"/>
    <w:rsid w:val="00493EC9"/>
    <w:rsid w:val="00496159"/>
    <w:rsid w:val="00496FAE"/>
    <w:rsid w:val="0049727A"/>
    <w:rsid w:val="004A0773"/>
    <w:rsid w:val="004A09C7"/>
    <w:rsid w:val="004A2382"/>
    <w:rsid w:val="004A30A9"/>
    <w:rsid w:val="004A4F57"/>
    <w:rsid w:val="004B0ABA"/>
    <w:rsid w:val="004B17C7"/>
    <w:rsid w:val="004B73E0"/>
    <w:rsid w:val="004B76F5"/>
    <w:rsid w:val="004C1CF4"/>
    <w:rsid w:val="004C34FD"/>
    <w:rsid w:val="004C3F4D"/>
    <w:rsid w:val="004D051A"/>
    <w:rsid w:val="004D0E47"/>
    <w:rsid w:val="004D2904"/>
    <w:rsid w:val="004D3C27"/>
    <w:rsid w:val="004D3F6A"/>
    <w:rsid w:val="004D602F"/>
    <w:rsid w:val="004E1DD0"/>
    <w:rsid w:val="004E62A4"/>
    <w:rsid w:val="004F061A"/>
    <w:rsid w:val="004F0E3F"/>
    <w:rsid w:val="004F165D"/>
    <w:rsid w:val="004F21EB"/>
    <w:rsid w:val="004F31C7"/>
    <w:rsid w:val="004F4A6F"/>
    <w:rsid w:val="004F61AD"/>
    <w:rsid w:val="004F7401"/>
    <w:rsid w:val="00502521"/>
    <w:rsid w:val="00503DAE"/>
    <w:rsid w:val="00506236"/>
    <w:rsid w:val="0051038B"/>
    <w:rsid w:val="00511A1E"/>
    <w:rsid w:val="00511EA2"/>
    <w:rsid w:val="00513425"/>
    <w:rsid w:val="00514498"/>
    <w:rsid w:val="00515BA2"/>
    <w:rsid w:val="005218F9"/>
    <w:rsid w:val="00524CA6"/>
    <w:rsid w:val="005274CE"/>
    <w:rsid w:val="00532848"/>
    <w:rsid w:val="00541845"/>
    <w:rsid w:val="00550BDE"/>
    <w:rsid w:val="005530C2"/>
    <w:rsid w:val="00553528"/>
    <w:rsid w:val="0055457A"/>
    <w:rsid w:val="005563C1"/>
    <w:rsid w:val="00556FE3"/>
    <w:rsid w:val="005614F0"/>
    <w:rsid w:val="00562261"/>
    <w:rsid w:val="00575E48"/>
    <w:rsid w:val="00586B4C"/>
    <w:rsid w:val="0059082A"/>
    <w:rsid w:val="0059197C"/>
    <w:rsid w:val="00591F2A"/>
    <w:rsid w:val="0059487D"/>
    <w:rsid w:val="005956F4"/>
    <w:rsid w:val="005A0F48"/>
    <w:rsid w:val="005A7254"/>
    <w:rsid w:val="005B11A5"/>
    <w:rsid w:val="005B281A"/>
    <w:rsid w:val="005B36B7"/>
    <w:rsid w:val="005C1F6D"/>
    <w:rsid w:val="005C327E"/>
    <w:rsid w:val="005D194F"/>
    <w:rsid w:val="005D24A6"/>
    <w:rsid w:val="005D289B"/>
    <w:rsid w:val="005D482A"/>
    <w:rsid w:val="005D778A"/>
    <w:rsid w:val="005E01BD"/>
    <w:rsid w:val="005E3D4F"/>
    <w:rsid w:val="005E52AD"/>
    <w:rsid w:val="005F2260"/>
    <w:rsid w:val="005F48DC"/>
    <w:rsid w:val="005F4E5C"/>
    <w:rsid w:val="005F57AC"/>
    <w:rsid w:val="006041CC"/>
    <w:rsid w:val="0060437E"/>
    <w:rsid w:val="00605682"/>
    <w:rsid w:val="00605ACC"/>
    <w:rsid w:val="006120DA"/>
    <w:rsid w:val="00620495"/>
    <w:rsid w:val="00622964"/>
    <w:rsid w:val="006304DE"/>
    <w:rsid w:val="006323E1"/>
    <w:rsid w:val="00632B15"/>
    <w:rsid w:val="00650D40"/>
    <w:rsid w:val="00651460"/>
    <w:rsid w:val="006516B9"/>
    <w:rsid w:val="00653A0D"/>
    <w:rsid w:val="00656432"/>
    <w:rsid w:val="006574AD"/>
    <w:rsid w:val="0066317F"/>
    <w:rsid w:val="00663A29"/>
    <w:rsid w:val="00665AB3"/>
    <w:rsid w:val="00670A13"/>
    <w:rsid w:val="00670CD4"/>
    <w:rsid w:val="00673E14"/>
    <w:rsid w:val="006749A3"/>
    <w:rsid w:val="00676BEE"/>
    <w:rsid w:val="00685158"/>
    <w:rsid w:val="00690B59"/>
    <w:rsid w:val="00690F40"/>
    <w:rsid w:val="00692A50"/>
    <w:rsid w:val="00694D99"/>
    <w:rsid w:val="00694F7F"/>
    <w:rsid w:val="006A0652"/>
    <w:rsid w:val="006A33B7"/>
    <w:rsid w:val="006A56CE"/>
    <w:rsid w:val="006B1978"/>
    <w:rsid w:val="006B4B2F"/>
    <w:rsid w:val="006B4D01"/>
    <w:rsid w:val="006B7F14"/>
    <w:rsid w:val="006C6DBF"/>
    <w:rsid w:val="006C6E86"/>
    <w:rsid w:val="006D0748"/>
    <w:rsid w:val="006D1E53"/>
    <w:rsid w:val="006D34BA"/>
    <w:rsid w:val="006D7BBA"/>
    <w:rsid w:val="006E0281"/>
    <w:rsid w:val="006E0C8B"/>
    <w:rsid w:val="006E1E65"/>
    <w:rsid w:val="006F0D21"/>
    <w:rsid w:val="006F19B9"/>
    <w:rsid w:val="006F464C"/>
    <w:rsid w:val="007026DE"/>
    <w:rsid w:val="00704002"/>
    <w:rsid w:val="00706A62"/>
    <w:rsid w:val="0071154F"/>
    <w:rsid w:val="00715295"/>
    <w:rsid w:val="00725F84"/>
    <w:rsid w:val="007272EF"/>
    <w:rsid w:val="00727A18"/>
    <w:rsid w:val="00743FC7"/>
    <w:rsid w:val="0074425A"/>
    <w:rsid w:val="0074717E"/>
    <w:rsid w:val="00747964"/>
    <w:rsid w:val="00750206"/>
    <w:rsid w:val="0075144D"/>
    <w:rsid w:val="00752D21"/>
    <w:rsid w:val="0075366D"/>
    <w:rsid w:val="007545E7"/>
    <w:rsid w:val="00760032"/>
    <w:rsid w:val="00761CA0"/>
    <w:rsid w:val="007623DE"/>
    <w:rsid w:val="007625D3"/>
    <w:rsid w:val="007656AF"/>
    <w:rsid w:val="00765B2D"/>
    <w:rsid w:val="00766464"/>
    <w:rsid w:val="007746E9"/>
    <w:rsid w:val="007746F2"/>
    <w:rsid w:val="00783B4B"/>
    <w:rsid w:val="00786D0D"/>
    <w:rsid w:val="00793737"/>
    <w:rsid w:val="00794277"/>
    <w:rsid w:val="007951C7"/>
    <w:rsid w:val="007A0076"/>
    <w:rsid w:val="007A0E64"/>
    <w:rsid w:val="007A688C"/>
    <w:rsid w:val="007B1524"/>
    <w:rsid w:val="007B1C5D"/>
    <w:rsid w:val="007B7477"/>
    <w:rsid w:val="007C3B8A"/>
    <w:rsid w:val="007C6F9A"/>
    <w:rsid w:val="007D1570"/>
    <w:rsid w:val="007D33EC"/>
    <w:rsid w:val="007E5430"/>
    <w:rsid w:val="007E6140"/>
    <w:rsid w:val="007F2065"/>
    <w:rsid w:val="007F6D9D"/>
    <w:rsid w:val="007F6EA0"/>
    <w:rsid w:val="00800E1B"/>
    <w:rsid w:val="00804B9B"/>
    <w:rsid w:val="00806006"/>
    <w:rsid w:val="008124D8"/>
    <w:rsid w:val="00813AFC"/>
    <w:rsid w:val="00816B54"/>
    <w:rsid w:val="0082390D"/>
    <w:rsid w:val="00824D70"/>
    <w:rsid w:val="00826AC4"/>
    <w:rsid w:val="00830D7E"/>
    <w:rsid w:val="0083148B"/>
    <w:rsid w:val="008315AE"/>
    <w:rsid w:val="00832DF7"/>
    <w:rsid w:val="00834DFF"/>
    <w:rsid w:val="0083523B"/>
    <w:rsid w:val="00836207"/>
    <w:rsid w:val="0084325B"/>
    <w:rsid w:val="0084417C"/>
    <w:rsid w:val="00844B57"/>
    <w:rsid w:val="00846201"/>
    <w:rsid w:val="00846D37"/>
    <w:rsid w:val="008475FE"/>
    <w:rsid w:val="00847F37"/>
    <w:rsid w:val="00851761"/>
    <w:rsid w:val="00851F8D"/>
    <w:rsid w:val="008541CB"/>
    <w:rsid w:val="0085729F"/>
    <w:rsid w:val="00857A42"/>
    <w:rsid w:val="00861561"/>
    <w:rsid w:val="00861C38"/>
    <w:rsid w:val="008657FB"/>
    <w:rsid w:val="0086674F"/>
    <w:rsid w:val="00872100"/>
    <w:rsid w:val="0087296A"/>
    <w:rsid w:val="008729F4"/>
    <w:rsid w:val="00873BF3"/>
    <w:rsid w:val="008744FB"/>
    <w:rsid w:val="00874CB2"/>
    <w:rsid w:val="00874ECA"/>
    <w:rsid w:val="00880080"/>
    <w:rsid w:val="00887DCF"/>
    <w:rsid w:val="008901EE"/>
    <w:rsid w:val="00890ED1"/>
    <w:rsid w:val="008943D8"/>
    <w:rsid w:val="00896929"/>
    <w:rsid w:val="00897557"/>
    <w:rsid w:val="008A08D2"/>
    <w:rsid w:val="008A2E96"/>
    <w:rsid w:val="008B3D6E"/>
    <w:rsid w:val="008B51BF"/>
    <w:rsid w:val="008B5211"/>
    <w:rsid w:val="008B6F4A"/>
    <w:rsid w:val="008C08CF"/>
    <w:rsid w:val="008C34A1"/>
    <w:rsid w:val="008C4D96"/>
    <w:rsid w:val="008C534F"/>
    <w:rsid w:val="008C7BA9"/>
    <w:rsid w:val="008D1D42"/>
    <w:rsid w:val="008D3253"/>
    <w:rsid w:val="008D6676"/>
    <w:rsid w:val="008E2BD3"/>
    <w:rsid w:val="008E2CA6"/>
    <w:rsid w:val="008E357E"/>
    <w:rsid w:val="008E5A50"/>
    <w:rsid w:val="008F0DC9"/>
    <w:rsid w:val="008F0DF2"/>
    <w:rsid w:val="008F3F50"/>
    <w:rsid w:val="00900E7F"/>
    <w:rsid w:val="009046D8"/>
    <w:rsid w:val="00905680"/>
    <w:rsid w:val="00907B6E"/>
    <w:rsid w:val="00910FDA"/>
    <w:rsid w:val="00917343"/>
    <w:rsid w:val="00931AB0"/>
    <w:rsid w:val="009441C1"/>
    <w:rsid w:val="00944D3F"/>
    <w:rsid w:val="00945C98"/>
    <w:rsid w:val="009474A5"/>
    <w:rsid w:val="00950088"/>
    <w:rsid w:val="00952DAE"/>
    <w:rsid w:val="009530B8"/>
    <w:rsid w:val="00954E50"/>
    <w:rsid w:val="009573A7"/>
    <w:rsid w:val="00961631"/>
    <w:rsid w:val="00961B44"/>
    <w:rsid w:val="00967059"/>
    <w:rsid w:val="0097069E"/>
    <w:rsid w:val="0097219A"/>
    <w:rsid w:val="00985967"/>
    <w:rsid w:val="00986842"/>
    <w:rsid w:val="00987E60"/>
    <w:rsid w:val="00990832"/>
    <w:rsid w:val="0099197F"/>
    <w:rsid w:val="0099204E"/>
    <w:rsid w:val="00993065"/>
    <w:rsid w:val="00997B2F"/>
    <w:rsid w:val="00997D6A"/>
    <w:rsid w:val="009B0014"/>
    <w:rsid w:val="009B0E75"/>
    <w:rsid w:val="009B2555"/>
    <w:rsid w:val="009B7B1B"/>
    <w:rsid w:val="009B7EF9"/>
    <w:rsid w:val="009C2FDA"/>
    <w:rsid w:val="009C3988"/>
    <w:rsid w:val="009C4593"/>
    <w:rsid w:val="009C5123"/>
    <w:rsid w:val="009D33E1"/>
    <w:rsid w:val="009D5FF2"/>
    <w:rsid w:val="009E16F6"/>
    <w:rsid w:val="009E407F"/>
    <w:rsid w:val="009E70E3"/>
    <w:rsid w:val="009F217A"/>
    <w:rsid w:val="00A0281B"/>
    <w:rsid w:val="00A03A94"/>
    <w:rsid w:val="00A041C5"/>
    <w:rsid w:val="00A07F3D"/>
    <w:rsid w:val="00A14A89"/>
    <w:rsid w:val="00A2030F"/>
    <w:rsid w:val="00A21D42"/>
    <w:rsid w:val="00A21DC1"/>
    <w:rsid w:val="00A24A6C"/>
    <w:rsid w:val="00A25A3B"/>
    <w:rsid w:val="00A30C9C"/>
    <w:rsid w:val="00A3134A"/>
    <w:rsid w:val="00A31B65"/>
    <w:rsid w:val="00A340BF"/>
    <w:rsid w:val="00A41D61"/>
    <w:rsid w:val="00A43BD1"/>
    <w:rsid w:val="00A50558"/>
    <w:rsid w:val="00A54614"/>
    <w:rsid w:val="00A54D37"/>
    <w:rsid w:val="00A56226"/>
    <w:rsid w:val="00A57C1D"/>
    <w:rsid w:val="00A60749"/>
    <w:rsid w:val="00A61684"/>
    <w:rsid w:val="00A632B7"/>
    <w:rsid w:val="00A63578"/>
    <w:rsid w:val="00A6489F"/>
    <w:rsid w:val="00A65DE7"/>
    <w:rsid w:val="00A712D1"/>
    <w:rsid w:val="00A718B3"/>
    <w:rsid w:val="00A71CA8"/>
    <w:rsid w:val="00A73CB8"/>
    <w:rsid w:val="00A744C8"/>
    <w:rsid w:val="00A8105F"/>
    <w:rsid w:val="00A81ED2"/>
    <w:rsid w:val="00A8253C"/>
    <w:rsid w:val="00A83F16"/>
    <w:rsid w:val="00A8424C"/>
    <w:rsid w:val="00A846EF"/>
    <w:rsid w:val="00A867F1"/>
    <w:rsid w:val="00A9703B"/>
    <w:rsid w:val="00AA19C1"/>
    <w:rsid w:val="00AA2165"/>
    <w:rsid w:val="00AA3F8E"/>
    <w:rsid w:val="00AB0B39"/>
    <w:rsid w:val="00AB5833"/>
    <w:rsid w:val="00AD0724"/>
    <w:rsid w:val="00AD087D"/>
    <w:rsid w:val="00AD0F4F"/>
    <w:rsid w:val="00AD7379"/>
    <w:rsid w:val="00AD7A25"/>
    <w:rsid w:val="00AE13A3"/>
    <w:rsid w:val="00AE291A"/>
    <w:rsid w:val="00AE2FFB"/>
    <w:rsid w:val="00AE4624"/>
    <w:rsid w:val="00AF263F"/>
    <w:rsid w:val="00AF3245"/>
    <w:rsid w:val="00AF4AFA"/>
    <w:rsid w:val="00AF4D94"/>
    <w:rsid w:val="00AF5AA5"/>
    <w:rsid w:val="00AF6450"/>
    <w:rsid w:val="00AF67B4"/>
    <w:rsid w:val="00B01162"/>
    <w:rsid w:val="00B012FD"/>
    <w:rsid w:val="00B10584"/>
    <w:rsid w:val="00B13BF1"/>
    <w:rsid w:val="00B17972"/>
    <w:rsid w:val="00B20A42"/>
    <w:rsid w:val="00B24DC4"/>
    <w:rsid w:val="00B25277"/>
    <w:rsid w:val="00B27CFA"/>
    <w:rsid w:val="00B306B4"/>
    <w:rsid w:val="00B3083C"/>
    <w:rsid w:val="00B32623"/>
    <w:rsid w:val="00B331AD"/>
    <w:rsid w:val="00B34BEA"/>
    <w:rsid w:val="00B3626B"/>
    <w:rsid w:val="00B42EA3"/>
    <w:rsid w:val="00B43BFE"/>
    <w:rsid w:val="00B527BE"/>
    <w:rsid w:val="00B554E7"/>
    <w:rsid w:val="00B655E8"/>
    <w:rsid w:val="00B71F31"/>
    <w:rsid w:val="00B81383"/>
    <w:rsid w:val="00B850D8"/>
    <w:rsid w:val="00B86BAB"/>
    <w:rsid w:val="00B913F0"/>
    <w:rsid w:val="00BA35BE"/>
    <w:rsid w:val="00BB1CBB"/>
    <w:rsid w:val="00BB1FA6"/>
    <w:rsid w:val="00BB2A15"/>
    <w:rsid w:val="00BB5AF3"/>
    <w:rsid w:val="00BB5B99"/>
    <w:rsid w:val="00BC2470"/>
    <w:rsid w:val="00BC2933"/>
    <w:rsid w:val="00BC45E9"/>
    <w:rsid w:val="00BC5FF6"/>
    <w:rsid w:val="00BD07C2"/>
    <w:rsid w:val="00BD28DC"/>
    <w:rsid w:val="00BD7638"/>
    <w:rsid w:val="00BE1ECF"/>
    <w:rsid w:val="00BE35A6"/>
    <w:rsid w:val="00BE7A31"/>
    <w:rsid w:val="00BE7B2C"/>
    <w:rsid w:val="00BF0467"/>
    <w:rsid w:val="00BF0A7F"/>
    <w:rsid w:val="00BF3522"/>
    <w:rsid w:val="00BF38FA"/>
    <w:rsid w:val="00BF5FBF"/>
    <w:rsid w:val="00C00709"/>
    <w:rsid w:val="00C062FC"/>
    <w:rsid w:val="00C12272"/>
    <w:rsid w:val="00C12637"/>
    <w:rsid w:val="00C127F4"/>
    <w:rsid w:val="00C16560"/>
    <w:rsid w:val="00C172CE"/>
    <w:rsid w:val="00C34893"/>
    <w:rsid w:val="00C373EF"/>
    <w:rsid w:val="00C41F0F"/>
    <w:rsid w:val="00C574D6"/>
    <w:rsid w:val="00C62E7C"/>
    <w:rsid w:val="00C637BB"/>
    <w:rsid w:val="00C70B90"/>
    <w:rsid w:val="00C70C8B"/>
    <w:rsid w:val="00C73F88"/>
    <w:rsid w:val="00C8529A"/>
    <w:rsid w:val="00C92EC3"/>
    <w:rsid w:val="00C9414D"/>
    <w:rsid w:val="00C956C7"/>
    <w:rsid w:val="00C962D2"/>
    <w:rsid w:val="00C97EF7"/>
    <w:rsid w:val="00CA0A24"/>
    <w:rsid w:val="00CA0B0D"/>
    <w:rsid w:val="00CA1096"/>
    <w:rsid w:val="00CA7024"/>
    <w:rsid w:val="00CB17C0"/>
    <w:rsid w:val="00CB4A80"/>
    <w:rsid w:val="00CC24D5"/>
    <w:rsid w:val="00CC3771"/>
    <w:rsid w:val="00CC5232"/>
    <w:rsid w:val="00CD0EE2"/>
    <w:rsid w:val="00CD244B"/>
    <w:rsid w:val="00CD3554"/>
    <w:rsid w:val="00CD6913"/>
    <w:rsid w:val="00CE16F2"/>
    <w:rsid w:val="00CE2E83"/>
    <w:rsid w:val="00CE6D8B"/>
    <w:rsid w:val="00CF016C"/>
    <w:rsid w:val="00CF047C"/>
    <w:rsid w:val="00CF1D96"/>
    <w:rsid w:val="00CF2992"/>
    <w:rsid w:val="00CF3BF1"/>
    <w:rsid w:val="00D00331"/>
    <w:rsid w:val="00D01F93"/>
    <w:rsid w:val="00D029AB"/>
    <w:rsid w:val="00D0592B"/>
    <w:rsid w:val="00D107A5"/>
    <w:rsid w:val="00D124A9"/>
    <w:rsid w:val="00D159E7"/>
    <w:rsid w:val="00D26A21"/>
    <w:rsid w:val="00D273DA"/>
    <w:rsid w:val="00D30AD5"/>
    <w:rsid w:val="00D35E33"/>
    <w:rsid w:val="00D716E3"/>
    <w:rsid w:val="00D73730"/>
    <w:rsid w:val="00D85532"/>
    <w:rsid w:val="00D86236"/>
    <w:rsid w:val="00D91912"/>
    <w:rsid w:val="00D92C95"/>
    <w:rsid w:val="00D944CD"/>
    <w:rsid w:val="00D972F4"/>
    <w:rsid w:val="00DB1545"/>
    <w:rsid w:val="00DB1868"/>
    <w:rsid w:val="00DB4504"/>
    <w:rsid w:val="00DB583F"/>
    <w:rsid w:val="00DB5E07"/>
    <w:rsid w:val="00DB7C76"/>
    <w:rsid w:val="00DC02C9"/>
    <w:rsid w:val="00DC0F54"/>
    <w:rsid w:val="00DC3D11"/>
    <w:rsid w:val="00DE15D4"/>
    <w:rsid w:val="00DE424C"/>
    <w:rsid w:val="00DE5C12"/>
    <w:rsid w:val="00DE62AB"/>
    <w:rsid w:val="00DE7145"/>
    <w:rsid w:val="00DF1945"/>
    <w:rsid w:val="00DF3EC3"/>
    <w:rsid w:val="00DF5FC6"/>
    <w:rsid w:val="00E046DA"/>
    <w:rsid w:val="00E135FB"/>
    <w:rsid w:val="00E15D93"/>
    <w:rsid w:val="00E16AB0"/>
    <w:rsid w:val="00E202B2"/>
    <w:rsid w:val="00E22FAC"/>
    <w:rsid w:val="00E2492A"/>
    <w:rsid w:val="00E2513C"/>
    <w:rsid w:val="00E31B8C"/>
    <w:rsid w:val="00E327C1"/>
    <w:rsid w:val="00E334CE"/>
    <w:rsid w:val="00E33E4C"/>
    <w:rsid w:val="00E46020"/>
    <w:rsid w:val="00E46CFF"/>
    <w:rsid w:val="00E50F5E"/>
    <w:rsid w:val="00E51166"/>
    <w:rsid w:val="00E51729"/>
    <w:rsid w:val="00E549B3"/>
    <w:rsid w:val="00E568DE"/>
    <w:rsid w:val="00E6143A"/>
    <w:rsid w:val="00E64BCD"/>
    <w:rsid w:val="00E64DAB"/>
    <w:rsid w:val="00E713B0"/>
    <w:rsid w:val="00E718BE"/>
    <w:rsid w:val="00E74A05"/>
    <w:rsid w:val="00E75E8F"/>
    <w:rsid w:val="00E777E3"/>
    <w:rsid w:val="00E80200"/>
    <w:rsid w:val="00E837BB"/>
    <w:rsid w:val="00E92780"/>
    <w:rsid w:val="00EA51D6"/>
    <w:rsid w:val="00EB1131"/>
    <w:rsid w:val="00EB4A29"/>
    <w:rsid w:val="00EC2E2E"/>
    <w:rsid w:val="00EC348F"/>
    <w:rsid w:val="00EC4C2E"/>
    <w:rsid w:val="00ED686F"/>
    <w:rsid w:val="00EE0241"/>
    <w:rsid w:val="00EE0F17"/>
    <w:rsid w:val="00EE5BE2"/>
    <w:rsid w:val="00EE6BB7"/>
    <w:rsid w:val="00EF38DE"/>
    <w:rsid w:val="00EF3BEF"/>
    <w:rsid w:val="00EF5753"/>
    <w:rsid w:val="00F04AEF"/>
    <w:rsid w:val="00F071EF"/>
    <w:rsid w:val="00F102AF"/>
    <w:rsid w:val="00F16708"/>
    <w:rsid w:val="00F30936"/>
    <w:rsid w:val="00F32D3F"/>
    <w:rsid w:val="00F336D2"/>
    <w:rsid w:val="00F3381B"/>
    <w:rsid w:val="00F410B9"/>
    <w:rsid w:val="00F42ABC"/>
    <w:rsid w:val="00F43280"/>
    <w:rsid w:val="00F468D3"/>
    <w:rsid w:val="00F506B2"/>
    <w:rsid w:val="00F51D47"/>
    <w:rsid w:val="00F523DD"/>
    <w:rsid w:val="00F660C3"/>
    <w:rsid w:val="00F66477"/>
    <w:rsid w:val="00F66A69"/>
    <w:rsid w:val="00F7090A"/>
    <w:rsid w:val="00F70EBD"/>
    <w:rsid w:val="00F77026"/>
    <w:rsid w:val="00F85C2E"/>
    <w:rsid w:val="00F86757"/>
    <w:rsid w:val="00F902A0"/>
    <w:rsid w:val="00F96CC1"/>
    <w:rsid w:val="00FA4196"/>
    <w:rsid w:val="00FA6FE6"/>
    <w:rsid w:val="00FB3594"/>
    <w:rsid w:val="00FB4085"/>
    <w:rsid w:val="00FC3758"/>
    <w:rsid w:val="00FC5186"/>
    <w:rsid w:val="00FC61E5"/>
    <w:rsid w:val="00FC72F2"/>
    <w:rsid w:val="00FD1ECA"/>
    <w:rsid w:val="00FD6B93"/>
    <w:rsid w:val="00FE28CF"/>
    <w:rsid w:val="00FE57B8"/>
    <w:rsid w:val="00FF1F17"/>
    <w:rsid w:val="00FF2374"/>
    <w:rsid w:val="00FF451F"/>
    <w:rsid w:val="02084B3E"/>
    <w:rsid w:val="0C604152"/>
    <w:rsid w:val="13160D6D"/>
    <w:rsid w:val="151444B4"/>
    <w:rsid w:val="184D6BFB"/>
    <w:rsid w:val="1A376840"/>
    <w:rsid w:val="1B815A9B"/>
    <w:rsid w:val="247C3114"/>
    <w:rsid w:val="2BF9045D"/>
    <w:rsid w:val="2E6C3F2B"/>
    <w:rsid w:val="2FCF3357"/>
    <w:rsid w:val="304A7348"/>
    <w:rsid w:val="406665E0"/>
    <w:rsid w:val="41F9608E"/>
    <w:rsid w:val="43827AC5"/>
    <w:rsid w:val="43CC2233"/>
    <w:rsid w:val="4835168B"/>
    <w:rsid w:val="48AF6176"/>
    <w:rsid w:val="4C676D7A"/>
    <w:rsid w:val="4DF80A94"/>
    <w:rsid w:val="51117005"/>
    <w:rsid w:val="6936451E"/>
    <w:rsid w:val="6C2C67D9"/>
    <w:rsid w:val="6F793914"/>
    <w:rsid w:val="74246A68"/>
    <w:rsid w:val="77EE4F4C"/>
    <w:rsid w:val="792F24BE"/>
    <w:rsid w:val="7D9503D7"/>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04F588"/>
  <w15:docId w15:val="{7BC3D03C-4095-45E3-8156-513AAC6D7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Pr>
      <w:sz w:val="20"/>
      <w:szCs w:val="20"/>
    </w:rPr>
  </w:style>
  <w:style w:type="paragraph" w:styleId="a5">
    <w:name w:val="footer"/>
    <w:basedOn w:val="a"/>
    <w:link w:val="a6"/>
    <w:qFormat/>
    <w:pPr>
      <w:tabs>
        <w:tab w:val="center" w:pos="4680"/>
        <w:tab w:val="right" w:pos="9360"/>
      </w:tabs>
    </w:pPr>
  </w:style>
  <w:style w:type="paragraph" w:styleId="a7">
    <w:name w:val="header"/>
    <w:basedOn w:val="a"/>
    <w:link w:val="a8"/>
    <w:qFormat/>
    <w:pPr>
      <w:tabs>
        <w:tab w:val="center" w:pos="4680"/>
        <w:tab w:val="right" w:pos="9360"/>
      </w:tabs>
    </w:pPr>
  </w:style>
  <w:style w:type="paragraph" w:styleId="HTML">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hint="eastAsia"/>
      <w:kern w:val="0"/>
      <w:sz w:val="24"/>
      <w:szCs w:val="24"/>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a">
    <w:name w:val="annotation subject"/>
    <w:basedOn w:val="a3"/>
    <w:next w:val="a3"/>
    <w:link w:val="ab"/>
    <w:qFormat/>
    <w:rPr>
      <w:b/>
      <w:bCs/>
    </w:rPr>
  </w:style>
  <w:style w:type="character" w:styleId="ac">
    <w:name w:val="Strong"/>
    <w:basedOn w:val="a0"/>
    <w:uiPriority w:val="22"/>
    <w:qFormat/>
    <w:rPr>
      <w:b/>
      <w:bCs/>
    </w:rPr>
  </w:style>
  <w:style w:type="character" w:styleId="ad">
    <w:name w:val="Hyperlink"/>
    <w:basedOn w:val="a0"/>
    <w:uiPriority w:val="99"/>
    <w:unhideWhenUsed/>
    <w:qFormat/>
    <w:rPr>
      <w:color w:val="0000FF"/>
      <w:u w:val="single"/>
    </w:rPr>
  </w:style>
  <w:style w:type="character" w:styleId="ae">
    <w:name w:val="annotation reference"/>
    <w:basedOn w:val="a0"/>
    <w:qFormat/>
    <w:rPr>
      <w:sz w:val="16"/>
      <w:szCs w:val="16"/>
    </w:rPr>
  </w:style>
  <w:style w:type="character" w:customStyle="1" w:styleId="tgt">
    <w:name w:val="tgt"/>
    <w:basedOn w:val="a0"/>
    <w:qFormat/>
  </w:style>
  <w:style w:type="paragraph" w:styleId="af">
    <w:name w:val="List Paragraph"/>
    <w:basedOn w:val="a"/>
    <w:uiPriority w:val="34"/>
    <w:qFormat/>
    <w:pPr>
      <w:ind w:firstLineChars="200" w:firstLine="420"/>
    </w:pPr>
  </w:style>
  <w:style w:type="character" w:customStyle="1" w:styleId="cf01">
    <w:name w:val="cf01"/>
    <w:basedOn w:val="a0"/>
    <w:qFormat/>
    <w:rPr>
      <w:rFonts w:ascii="Microsoft YaHei UI" w:eastAsia="Microsoft YaHei UI" w:hAnsi="Microsoft YaHei UI" w:hint="eastAsia"/>
      <w:sz w:val="18"/>
      <w:szCs w:val="18"/>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character" w:customStyle="1" w:styleId="a4">
    <w:name w:val="批注文字 字符"/>
    <w:basedOn w:val="a0"/>
    <w:link w:val="a3"/>
    <w:qFormat/>
    <w:rPr>
      <w:kern w:val="2"/>
    </w:rPr>
  </w:style>
  <w:style w:type="character" w:customStyle="1" w:styleId="ab">
    <w:name w:val="批注主题 字符"/>
    <w:basedOn w:val="a4"/>
    <w:link w:val="aa"/>
    <w:qFormat/>
    <w:rPr>
      <w:b/>
      <w:bCs/>
      <w:kern w:val="2"/>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a8">
    <w:name w:val="页眉 字符"/>
    <w:basedOn w:val="a0"/>
    <w:link w:val="a7"/>
    <w:qFormat/>
    <w:rPr>
      <w:kern w:val="2"/>
      <w:sz w:val="21"/>
      <w:szCs w:val="22"/>
    </w:rPr>
  </w:style>
  <w:style w:type="character" w:customStyle="1" w:styleId="a6">
    <w:name w:val="页脚 字符"/>
    <w:basedOn w:val="a0"/>
    <w:link w:val="a5"/>
    <w:qFormat/>
    <w:rPr>
      <w:kern w:val="2"/>
      <w:sz w:val="21"/>
      <w:szCs w:val="22"/>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paragraph" w:styleId="af0">
    <w:name w:val="Revision"/>
    <w:hidden/>
    <w:uiPriority w:val="99"/>
    <w:unhideWhenUsed/>
    <w:rsid w:val="00E74A05"/>
    <w:rPr>
      <w:rFonts w:asciiTheme="minorHAnsi" w:eastAsiaTheme="minorEastAsia" w:hAnsiTheme="minorHAnsi" w:cstheme="minorBidi"/>
      <w:kern w:val="2"/>
      <w:sz w:val="21"/>
      <w:szCs w:val="22"/>
    </w:rPr>
  </w:style>
  <w:style w:type="character" w:styleId="af1">
    <w:name w:val="Emphasis"/>
    <w:basedOn w:val="a0"/>
    <w:uiPriority w:val="20"/>
    <w:qFormat/>
    <w:rsid w:val="00496159"/>
    <w:rPr>
      <w:i/>
      <w:iCs/>
    </w:rPr>
  </w:style>
  <w:style w:type="character" w:customStyle="1" w:styleId="anchor-text">
    <w:name w:val="anchor-text"/>
    <w:basedOn w:val="a0"/>
    <w:rsid w:val="002D34F5"/>
  </w:style>
  <w:style w:type="character" w:customStyle="1" w:styleId="tran">
    <w:name w:val="tran"/>
    <w:basedOn w:val="a0"/>
    <w:rsid w:val="00997B2F"/>
  </w:style>
  <w:style w:type="character" w:styleId="af2">
    <w:name w:val="line number"/>
    <w:basedOn w:val="a0"/>
    <w:rsid w:val="00591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1460">
      <w:bodyDiv w:val="1"/>
      <w:marLeft w:val="0"/>
      <w:marRight w:val="0"/>
      <w:marTop w:val="0"/>
      <w:marBottom w:val="0"/>
      <w:divBdr>
        <w:top w:val="none" w:sz="0" w:space="0" w:color="auto"/>
        <w:left w:val="none" w:sz="0" w:space="0" w:color="auto"/>
        <w:bottom w:val="none" w:sz="0" w:space="0" w:color="auto"/>
        <w:right w:val="none" w:sz="0" w:space="0" w:color="auto"/>
      </w:divBdr>
    </w:div>
    <w:div w:id="23212770">
      <w:bodyDiv w:val="1"/>
      <w:marLeft w:val="0"/>
      <w:marRight w:val="0"/>
      <w:marTop w:val="0"/>
      <w:marBottom w:val="0"/>
      <w:divBdr>
        <w:top w:val="none" w:sz="0" w:space="0" w:color="auto"/>
        <w:left w:val="none" w:sz="0" w:space="0" w:color="auto"/>
        <w:bottom w:val="none" w:sz="0" w:space="0" w:color="auto"/>
        <w:right w:val="none" w:sz="0" w:space="0" w:color="auto"/>
      </w:divBdr>
    </w:div>
    <w:div w:id="47992562">
      <w:bodyDiv w:val="1"/>
      <w:marLeft w:val="0"/>
      <w:marRight w:val="0"/>
      <w:marTop w:val="0"/>
      <w:marBottom w:val="0"/>
      <w:divBdr>
        <w:top w:val="none" w:sz="0" w:space="0" w:color="auto"/>
        <w:left w:val="none" w:sz="0" w:space="0" w:color="auto"/>
        <w:bottom w:val="none" w:sz="0" w:space="0" w:color="auto"/>
        <w:right w:val="none" w:sz="0" w:space="0" w:color="auto"/>
      </w:divBdr>
    </w:div>
    <w:div w:id="73863384">
      <w:bodyDiv w:val="1"/>
      <w:marLeft w:val="0"/>
      <w:marRight w:val="0"/>
      <w:marTop w:val="0"/>
      <w:marBottom w:val="0"/>
      <w:divBdr>
        <w:top w:val="none" w:sz="0" w:space="0" w:color="auto"/>
        <w:left w:val="none" w:sz="0" w:space="0" w:color="auto"/>
        <w:bottom w:val="none" w:sz="0" w:space="0" w:color="auto"/>
        <w:right w:val="none" w:sz="0" w:space="0" w:color="auto"/>
      </w:divBdr>
    </w:div>
    <w:div w:id="97723429">
      <w:bodyDiv w:val="1"/>
      <w:marLeft w:val="0"/>
      <w:marRight w:val="0"/>
      <w:marTop w:val="0"/>
      <w:marBottom w:val="0"/>
      <w:divBdr>
        <w:top w:val="none" w:sz="0" w:space="0" w:color="auto"/>
        <w:left w:val="none" w:sz="0" w:space="0" w:color="auto"/>
        <w:bottom w:val="none" w:sz="0" w:space="0" w:color="auto"/>
        <w:right w:val="none" w:sz="0" w:space="0" w:color="auto"/>
      </w:divBdr>
    </w:div>
    <w:div w:id="98070098">
      <w:bodyDiv w:val="1"/>
      <w:marLeft w:val="0"/>
      <w:marRight w:val="0"/>
      <w:marTop w:val="0"/>
      <w:marBottom w:val="0"/>
      <w:divBdr>
        <w:top w:val="none" w:sz="0" w:space="0" w:color="auto"/>
        <w:left w:val="none" w:sz="0" w:space="0" w:color="auto"/>
        <w:bottom w:val="none" w:sz="0" w:space="0" w:color="auto"/>
        <w:right w:val="none" w:sz="0" w:space="0" w:color="auto"/>
      </w:divBdr>
    </w:div>
    <w:div w:id="121389041">
      <w:bodyDiv w:val="1"/>
      <w:marLeft w:val="0"/>
      <w:marRight w:val="0"/>
      <w:marTop w:val="0"/>
      <w:marBottom w:val="0"/>
      <w:divBdr>
        <w:top w:val="none" w:sz="0" w:space="0" w:color="auto"/>
        <w:left w:val="none" w:sz="0" w:space="0" w:color="auto"/>
        <w:bottom w:val="none" w:sz="0" w:space="0" w:color="auto"/>
        <w:right w:val="none" w:sz="0" w:space="0" w:color="auto"/>
      </w:divBdr>
    </w:div>
    <w:div w:id="125050422">
      <w:bodyDiv w:val="1"/>
      <w:marLeft w:val="0"/>
      <w:marRight w:val="0"/>
      <w:marTop w:val="0"/>
      <w:marBottom w:val="0"/>
      <w:divBdr>
        <w:top w:val="none" w:sz="0" w:space="0" w:color="auto"/>
        <w:left w:val="none" w:sz="0" w:space="0" w:color="auto"/>
        <w:bottom w:val="none" w:sz="0" w:space="0" w:color="auto"/>
        <w:right w:val="none" w:sz="0" w:space="0" w:color="auto"/>
      </w:divBdr>
    </w:div>
    <w:div w:id="144592906">
      <w:bodyDiv w:val="1"/>
      <w:marLeft w:val="0"/>
      <w:marRight w:val="0"/>
      <w:marTop w:val="0"/>
      <w:marBottom w:val="0"/>
      <w:divBdr>
        <w:top w:val="none" w:sz="0" w:space="0" w:color="auto"/>
        <w:left w:val="none" w:sz="0" w:space="0" w:color="auto"/>
        <w:bottom w:val="none" w:sz="0" w:space="0" w:color="auto"/>
        <w:right w:val="none" w:sz="0" w:space="0" w:color="auto"/>
      </w:divBdr>
    </w:div>
    <w:div w:id="147941007">
      <w:bodyDiv w:val="1"/>
      <w:marLeft w:val="0"/>
      <w:marRight w:val="0"/>
      <w:marTop w:val="0"/>
      <w:marBottom w:val="0"/>
      <w:divBdr>
        <w:top w:val="none" w:sz="0" w:space="0" w:color="auto"/>
        <w:left w:val="none" w:sz="0" w:space="0" w:color="auto"/>
        <w:bottom w:val="none" w:sz="0" w:space="0" w:color="auto"/>
        <w:right w:val="none" w:sz="0" w:space="0" w:color="auto"/>
      </w:divBdr>
    </w:div>
    <w:div w:id="150488098">
      <w:bodyDiv w:val="1"/>
      <w:marLeft w:val="0"/>
      <w:marRight w:val="0"/>
      <w:marTop w:val="0"/>
      <w:marBottom w:val="0"/>
      <w:divBdr>
        <w:top w:val="none" w:sz="0" w:space="0" w:color="auto"/>
        <w:left w:val="none" w:sz="0" w:space="0" w:color="auto"/>
        <w:bottom w:val="none" w:sz="0" w:space="0" w:color="auto"/>
        <w:right w:val="none" w:sz="0" w:space="0" w:color="auto"/>
      </w:divBdr>
    </w:div>
    <w:div w:id="250042739">
      <w:bodyDiv w:val="1"/>
      <w:marLeft w:val="0"/>
      <w:marRight w:val="0"/>
      <w:marTop w:val="0"/>
      <w:marBottom w:val="0"/>
      <w:divBdr>
        <w:top w:val="none" w:sz="0" w:space="0" w:color="auto"/>
        <w:left w:val="none" w:sz="0" w:space="0" w:color="auto"/>
        <w:bottom w:val="none" w:sz="0" w:space="0" w:color="auto"/>
        <w:right w:val="none" w:sz="0" w:space="0" w:color="auto"/>
      </w:divBdr>
    </w:div>
    <w:div w:id="274138970">
      <w:bodyDiv w:val="1"/>
      <w:marLeft w:val="0"/>
      <w:marRight w:val="0"/>
      <w:marTop w:val="0"/>
      <w:marBottom w:val="0"/>
      <w:divBdr>
        <w:top w:val="none" w:sz="0" w:space="0" w:color="auto"/>
        <w:left w:val="none" w:sz="0" w:space="0" w:color="auto"/>
        <w:bottom w:val="none" w:sz="0" w:space="0" w:color="auto"/>
        <w:right w:val="none" w:sz="0" w:space="0" w:color="auto"/>
      </w:divBdr>
    </w:div>
    <w:div w:id="281886801">
      <w:bodyDiv w:val="1"/>
      <w:marLeft w:val="0"/>
      <w:marRight w:val="0"/>
      <w:marTop w:val="0"/>
      <w:marBottom w:val="0"/>
      <w:divBdr>
        <w:top w:val="none" w:sz="0" w:space="0" w:color="auto"/>
        <w:left w:val="none" w:sz="0" w:space="0" w:color="auto"/>
        <w:bottom w:val="none" w:sz="0" w:space="0" w:color="auto"/>
        <w:right w:val="none" w:sz="0" w:space="0" w:color="auto"/>
      </w:divBdr>
    </w:div>
    <w:div w:id="367876651">
      <w:bodyDiv w:val="1"/>
      <w:marLeft w:val="0"/>
      <w:marRight w:val="0"/>
      <w:marTop w:val="0"/>
      <w:marBottom w:val="0"/>
      <w:divBdr>
        <w:top w:val="none" w:sz="0" w:space="0" w:color="auto"/>
        <w:left w:val="none" w:sz="0" w:space="0" w:color="auto"/>
        <w:bottom w:val="none" w:sz="0" w:space="0" w:color="auto"/>
        <w:right w:val="none" w:sz="0" w:space="0" w:color="auto"/>
      </w:divBdr>
    </w:div>
    <w:div w:id="407925290">
      <w:bodyDiv w:val="1"/>
      <w:marLeft w:val="0"/>
      <w:marRight w:val="0"/>
      <w:marTop w:val="0"/>
      <w:marBottom w:val="0"/>
      <w:divBdr>
        <w:top w:val="none" w:sz="0" w:space="0" w:color="auto"/>
        <w:left w:val="none" w:sz="0" w:space="0" w:color="auto"/>
        <w:bottom w:val="none" w:sz="0" w:space="0" w:color="auto"/>
        <w:right w:val="none" w:sz="0" w:space="0" w:color="auto"/>
      </w:divBdr>
    </w:div>
    <w:div w:id="450712994">
      <w:bodyDiv w:val="1"/>
      <w:marLeft w:val="0"/>
      <w:marRight w:val="0"/>
      <w:marTop w:val="0"/>
      <w:marBottom w:val="0"/>
      <w:divBdr>
        <w:top w:val="none" w:sz="0" w:space="0" w:color="auto"/>
        <w:left w:val="none" w:sz="0" w:space="0" w:color="auto"/>
        <w:bottom w:val="none" w:sz="0" w:space="0" w:color="auto"/>
        <w:right w:val="none" w:sz="0" w:space="0" w:color="auto"/>
      </w:divBdr>
    </w:div>
    <w:div w:id="508256746">
      <w:bodyDiv w:val="1"/>
      <w:marLeft w:val="0"/>
      <w:marRight w:val="0"/>
      <w:marTop w:val="0"/>
      <w:marBottom w:val="0"/>
      <w:divBdr>
        <w:top w:val="none" w:sz="0" w:space="0" w:color="auto"/>
        <w:left w:val="none" w:sz="0" w:space="0" w:color="auto"/>
        <w:bottom w:val="none" w:sz="0" w:space="0" w:color="auto"/>
        <w:right w:val="none" w:sz="0" w:space="0" w:color="auto"/>
      </w:divBdr>
    </w:div>
    <w:div w:id="518079883">
      <w:bodyDiv w:val="1"/>
      <w:marLeft w:val="0"/>
      <w:marRight w:val="0"/>
      <w:marTop w:val="0"/>
      <w:marBottom w:val="0"/>
      <w:divBdr>
        <w:top w:val="none" w:sz="0" w:space="0" w:color="auto"/>
        <w:left w:val="none" w:sz="0" w:space="0" w:color="auto"/>
        <w:bottom w:val="none" w:sz="0" w:space="0" w:color="auto"/>
        <w:right w:val="none" w:sz="0" w:space="0" w:color="auto"/>
      </w:divBdr>
    </w:div>
    <w:div w:id="588390740">
      <w:bodyDiv w:val="1"/>
      <w:marLeft w:val="0"/>
      <w:marRight w:val="0"/>
      <w:marTop w:val="0"/>
      <w:marBottom w:val="0"/>
      <w:divBdr>
        <w:top w:val="none" w:sz="0" w:space="0" w:color="auto"/>
        <w:left w:val="none" w:sz="0" w:space="0" w:color="auto"/>
        <w:bottom w:val="none" w:sz="0" w:space="0" w:color="auto"/>
        <w:right w:val="none" w:sz="0" w:space="0" w:color="auto"/>
      </w:divBdr>
    </w:div>
    <w:div w:id="627013815">
      <w:bodyDiv w:val="1"/>
      <w:marLeft w:val="0"/>
      <w:marRight w:val="0"/>
      <w:marTop w:val="0"/>
      <w:marBottom w:val="0"/>
      <w:divBdr>
        <w:top w:val="none" w:sz="0" w:space="0" w:color="auto"/>
        <w:left w:val="none" w:sz="0" w:space="0" w:color="auto"/>
        <w:bottom w:val="none" w:sz="0" w:space="0" w:color="auto"/>
        <w:right w:val="none" w:sz="0" w:space="0" w:color="auto"/>
      </w:divBdr>
    </w:div>
    <w:div w:id="645821520">
      <w:bodyDiv w:val="1"/>
      <w:marLeft w:val="0"/>
      <w:marRight w:val="0"/>
      <w:marTop w:val="0"/>
      <w:marBottom w:val="0"/>
      <w:divBdr>
        <w:top w:val="none" w:sz="0" w:space="0" w:color="auto"/>
        <w:left w:val="none" w:sz="0" w:space="0" w:color="auto"/>
        <w:bottom w:val="none" w:sz="0" w:space="0" w:color="auto"/>
        <w:right w:val="none" w:sz="0" w:space="0" w:color="auto"/>
      </w:divBdr>
    </w:div>
    <w:div w:id="670761297">
      <w:bodyDiv w:val="1"/>
      <w:marLeft w:val="0"/>
      <w:marRight w:val="0"/>
      <w:marTop w:val="0"/>
      <w:marBottom w:val="0"/>
      <w:divBdr>
        <w:top w:val="none" w:sz="0" w:space="0" w:color="auto"/>
        <w:left w:val="none" w:sz="0" w:space="0" w:color="auto"/>
        <w:bottom w:val="none" w:sz="0" w:space="0" w:color="auto"/>
        <w:right w:val="none" w:sz="0" w:space="0" w:color="auto"/>
      </w:divBdr>
    </w:div>
    <w:div w:id="734396665">
      <w:bodyDiv w:val="1"/>
      <w:marLeft w:val="0"/>
      <w:marRight w:val="0"/>
      <w:marTop w:val="0"/>
      <w:marBottom w:val="0"/>
      <w:divBdr>
        <w:top w:val="none" w:sz="0" w:space="0" w:color="auto"/>
        <w:left w:val="none" w:sz="0" w:space="0" w:color="auto"/>
        <w:bottom w:val="none" w:sz="0" w:space="0" w:color="auto"/>
        <w:right w:val="none" w:sz="0" w:space="0" w:color="auto"/>
      </w:divBdr>
    </w:div>
    <w:div w:id="865827755">
      <w:bodyDiv w:val="1"/>
      <w:marLeft w:val="0"/>
      <w:marRight w:val="0"/>
      <w:marTop w:val="0"/>
      <w:marBottom w:val="0"/>
      <w:divBdr>
        <w:top w:val="none" w:sz="0" w:space="0" w:color="auto"/>
        <w:left w:val="none" w:sz="0" w:space="0" w:color="auto"/>
        <w:bottom w:val="none" w:sz="0" w:space="0" w:color="auto"/>
        <w:right w:val="none" w:sz="0" w:space="0" w:color="auto"/>
      </w:divBdr>
    </w:div>
    <w:div w:id="915551823">
      <w:bodyDiv w:val="1"/>
      <w:marLeft w:val="0"/>
      <w:marRight w:val="0"/>
      <w:marTop w:val="0"/>
      <w:marBottom w:val="0"/>
      <w:divBdr>
        <w:top w:val="none" w:sz="0" w:space="0" w:color="auto"/>
        <w:left w:val="none" w:sz="0" w:space="0" w:color="auto"/>
        <w:bottom w:val="none" w:sz="0" w:space="0" w:color="auto"/>
        <w:right w:val="none" w:sz="0" w:space="0" w:color="auto"/>
      </w:divBdr>
    </w:div>
    <w:div w:id="988247403">
      <w:bodyDiv w:val="1"/>
      <w:marLeft w:val="0"/>
      <w:marRight w:val="0"/>
      <w:marTop w:val="0"/>
      <w:marBottom w:val="0"/>
      <w:divBdr>
        <w:top w:val="none" w:sz="0" w:space="0" w:color="auto"/>
        <w:left w:val="none" w:sz="0" w:space="0" w:color="auto"/>
        <w:bottom w:val="none" w:sz="0" w:space="0" w:color="auto"/>
        <w:right w:val="none" w:sz="0" w:space="0" w:color="auto"/>
      </w:divBdr>
    </w:div>
    <w:div w:id="1088774970">
      <w:bodyDiv w:val="1"/>
      <w:marLeft w:val="0"/>
      <w:marRight w:val="0"/>
      <w:marTop w:val="0"/>
      <w:marBottom w:val="0"/>
      <w:divBdr>
        <w:top w:val="none" w:sz="0" w:space="0" w:color="auto"/>
        <w:left w:val="none" w:sz="0" w:space="0" w:color="auto"/>
        <w:bottom w:val="none" w:sz="0" w:space="0" w:color="auto"/>
        <w:right w:val="none" w:sz="0" w:space="0" w:color="auto"/>
      </w:divBdr>
    </w:div>
    <w:div w:id="1121992723">
      <w:bodyDiv w:val="1"/>
      <w:marLeft w:val="0"/>
      <w:marRight w:val="0"/>
      <w:marTop w:val="0"/>
      <w:marBottom w:val="0"/>
      <w:divBdr>
        <w:top w:val="none" w:sz="0" w:space="0" w:color="auto"/>
        <w:left w:val="none" w:sz="0" w:space="0" w:color="auto"/>
        <w:bottom w:val="none" w:sz="0" w:space="0" w:color="auto"/>
        <w:right w:val="none" w:sz="0" w:space="0" w:color="auto"/>
      </w:divBdr>
    </w:div>
    <w:div w:id="1179155863">
      <w:bodyDiv w:val="1"/>
      <w:marLeft w:val="0"/>
      <w:marRight w:val="0"/>
      <w:marTop w:val="0"/>
      <w:marBottom w:val="0"/>
      <w:divBdr>
        <w:top w:val="none" w:sz="0" w:space="0" w:color="auto"/>
        <w:left w:val="none" w:sz="0" w:space="0" w:color="auto"/>
        <w:bottom w:val="none" w:sz="0" w:space="0" w:color="auto"/>
        <w:right w:val="none" w:sz="0" w:space="0" w:color="auto"/>
      </w:divBdr>
    </w:div>
    <w:div w:id="1184904640">
      <w:bodyDiv w:val="1"/>
      <w:marLeft w:val="0"/>
      <w:marRight w:val="0"/>
      <w:marTop w:val="0"/>
      <w:marBottom w:val="0"/>
      <w:divBdr>
        <w:top w:val="none" w:sz="0" w:space="0" w:color="auto"/>
        <w:left w:val="none" w:sz="0" w:space="0" w:color="auto"/>
        <w:bottom w:val="none" w:sz="0" w:space="0" w:color="auto"/>
        <w:right w:val="none" w:sz="0" w:space="0" w:color="auto"/>
      </w:divBdr>
    </w:div>
    <w:div w:id="1229918097">
      <w:bodyDiv w:val="1"/>
      <w:marLeft w:val="0"/>
      <w:marRight w:val="0"/>
      <w:marTop w:val="0"/>
      <w:marBottom w:val="0"/>
      <w:divBdr>
        <w:top w:val="none" w:sz="0" w:space="0" w:color="auto"/>
        <w:left w:val="none" w:sz="0" w:space="0" w:color="auto"/>
        <w:bottom w:val="none" w:sz="0" w:space="0" w:color="auto"/>
        <w:right w:val="none" w:sz="0" w:space="0" w:color="auto"/>
      </w:divBdr>
    </w:div>
    <w:div w:id="1255289207">
      <w:bodyDiv w:val="1"/>
      <w:marLeft w:val="0"/>
      <w:marRight w:val="0"/>
      <w:marTop w:val="0"/>
      <w:marBottom w:val="0"/>
      <w:divBdr>
        <w:top w:val="none" w:sz="0" w:space="0" w:color="auto"/>
        <w:left w:val="none" w:sz="0" w:space="0" w:color="auto"/>
        <w:bottom w:val="none" w:sz="0" w:space="0" w:color="auto"/>
        <w:right w:val="none" w:sz="0" w:space="0" w:color="auto"/>
      </w:divBdr>
    </w:div>
    <w:div w:id="1284769595">
      <w:bodyDiv w:val="1"/>
      <w:marLeft w:val="0"/>
      <w:marRight w:val="0"/>
      <w:marTop w:val="0"/>
      <w:marBottom w:val="0"/>
      <w:divBdr>
        <w:top w:val="none" w:sz="0" w:space="0" w:color="auto"/>
        <w:left w:val="none" w:sz="0" w:space="0" w:color="auto"/>
        <w:bottom w:val="none" w:sz="0" w:space="0" w:color="auto"/>
        <w:right w:val="none" w:sz="0" w:space="0" w:color="auto"/>
      </w:divBdr>
    </w:div>
    <w:div w:id="1338800925">
      <w:bodyDiv w:val="1"/>
      <w:marLeft w:val="0"/>
      <w:marRight w:val="0"/>
      <w:marTop w:val="0"/>
      <w:marBottom w:val="0"/>
      <w:divBdr>
        <w:top w:val="none" w:sz="0" w:space="0" w:color="auto"/>
        <w:left w:val="none" w:sz="0" w:space="0" w:color="auto"/>
        <w:bottom w:val="none" w:sz="0" w:space="0" w:color="auto"/>
        <w:right w:val="none" w:sz="0" w:space="0" w:color="auto"/>
      </w:divBdr>
    </w:div>
    <w:div w:id="1442140722">
      <w:bodyDiv w:val="1"/>
      <w:marLeft w:val="0"/>
      <w:marRight w:val="0"/>
      <w:marTop w:val="0"/>
      <w:marBottom w:val="0"/>
      <w:divBdr>
        <w:top w:val="none" w:sz="0" w:space="0" w:color="auto"/>
        <w:left w:val="none" w:sz="0" w:space="0" w:color="auto"/>
        <w:bottom w:val="none" w:sz="0" w:space="0" w:color="auto"/>
        <w:right w:val="none" w:sz="0" w:space="0" w:color="auto"/>
      </w:divBdr>
    </w:div>
    <w:div w:id="1484814272">
      <w:bodyDiv w:val="1"/>
      <w:marLeft w:val="0"/>
      <w:marRight w:val="0"/>
      <w:marTop w:val="0"/>
      <w:marBottom w:val="0"/>
      <w:divBdr>
        <w:top w:val="none" w:sz="0" w:space="0" w:color="auto"/>
        <w:left w:val="none" w:sz="0" w:space="0" w:color="auto"/>
        <w:bottom w:val="none" w:sz="0" w:space="0" w:color="auto"/>
        <w:right w:val="none" w:sz="0" w:space="0" w:color="auto"/>
      </w:divBdr>
    </w:div>
    <w:div w:id="1510411171">
      <w:bodyDiv w:val="1"/>
      <w:marLeft w:val="0"/>
      <w:marRight w:val="0"/>
      <w:marTop w:val="0"/>
      <w:marBottom w:val="0"/>
      <w:divBdr>
        <w:top w:val="none" w:sz="0" w:space="0" w:color="auto"/>
        <w:left w:val="none" w:sz="0" w:space="0" w:color="auto"/>
        <w:bottom w:val="none" w:sz="0" w:space="0" w:color="auto"/>
        <w:right w:val="none" w:sz="0" w:space="0" w:color="auto"/>
      </w:divBdr>
    </w:div>
    <w:div w:id="1563173248">
      <w:bodyDiv w:val="1"/>
      <w:marLeft w:val="0"/>
      <w:marRight w:val="0"/>
      <w:marTop w:val="0"/>
      <w:marBottom w:val="0"/>
      <w:divBdr>
        <w:top w:val="none" w:sz="0" w:space="0" w:color="auto"/>
        <w:left w:val="none" w:sz="0" w:space="0" w:color="auto"/>
        <w:bottom w:val="none" w:sz="0" w:space="0" w:color="auto"/>
        <w:right w:val="none" w:sz="0" w:space="0" w:color="auto"/>
      </w:divBdr>
    </w:div>
    <w:div w:id="1618948928">
      <w:bodyDiv w:val="1"/>
      <w:marLeft w:val="0"/>
      <w:marRight w:val="0"/>
      <w:marTop w:val="0"/>
      <w:marBottom w:val="0"/>
      <w:divBdr>
        <w:top w:val="none" w:sz="0" w:space="0" w:color="auto"/>
        <w:left w:val="none" w:sz="0" w:space="0" w:color="auto"/>
        <w:bottom w:val="none" w:sz="0" w:space="0" w:color="auto"/>
        <w:right w:val="none" w:sz="0" w:space="0" w:color="auto"/>
      </w:divBdr>
    </w:div>
    <w:div w:id="1623540190">
      <w:bodyDiv w:val="1"/>
      <w:marLeft w:val="0"/>
      <w:marRight w:val="0"/>
      <w:marTop w:val="0"/>
      <w:marBottom w:val="0"/>
      <w:divBdr>
        <w:top w:val="none" w:sz="0" w:space="0" w:color="auto"/>
        <w:left w:val="none" w:sz="0" w:space="0" w:color="auto"/>
        <w:bottom w:val="none" w:sz="0" w:space="0" w:color="auto"/>
        <w:right w:val="none" w:sz="0" w:space="0" w:color="auto"/>
      </w:divBdr>
    </w:div>
    <w:div w:id="1652254524">
      <w:bodyDiv w:val="1"/>
      <w:marLeft w:val="0"/>
      <w:marRight w:val="0"/>
      <w:marTop w:val="0"/>
      <w:marBottom w:val="0"/>
      <w:divBdr>
        <w:top w:val="none" w:sz="0" w:space="0" w:color="auto"/>
        <w:left w:val="none" w:sz="0" w:space="0" w:color="auto"/>
        <w:bottom w:val="none" w:sz="0" w:space="0" w:color="auto"/>
        <w:right w:val="none" w:sz="0" w:space="0" w:color="auto"/>
      </w:divBdr>
    </w:div>
    <w:div w:id="1653948393">
      <w:bodyDiv w:val="1"/>
      <w:marLeft w:val="0"/>
      <w:marRight w:val="0"/>
      <w:marTop w:val="0"/>
      <w:marBottom w:val="0"/>
      <w:divBdr>
        <w:top w:val="none" w:sz="0" w:space="0" w:color="auto"/>
        <w:left w:val="none" w:sz="0" w:space="0" w:color="auto"/>
        <w:bottom w:val="none" w:sz="0" w:space="0" w:color="auto"/>
        <w:right w:val="none" w:sz="0" w:space="0" w:color="auto"/>
      </w:divBdr>
    </w:div>
    <w:div w:id="1656445829">
      <w:bodyDiv w:val="1"/>
      <w:marLeft w:val="0"/>
      <w:marRight w:val="0"/>
      <w:marTop w:val="0"/>
      <w:marBottom w:val="0"/>
      <w:divBdr>
        <w:top w:val="none" w:sz="0" w:space="0" w:color="auto"/>
        <w:left w:val="none" w:sz="0" w:space="0" w:color="auto"/>
        <w:bottom w:val="none" w:sz="0" w:space="0" w:color="auto"/>
        <w:right w:val="none" w:sz="0" w:space="0" w:color="auto"/>
      </w:divBdr>
    </w:div>
    <w:div w:id="1672220277">
      <w:bodyDiv w:val="1"/>
      <w:marLeft w:val="0"/>
      <w:marRight w:val="0"/>
      <w:marTop w:val="0"/>
      <w:marBottom w:val="0"/>
      <w:divBdr>
        <w:top w:val="none" w:sz="0" w:space="0" w:color="auto"/>
        <w:left w:val="none" w:sz="0" w:space="0" w:color="auto"/>
        <w:bottom w:val="none" w:sz="0" w:space="0" w:color="auto"/>
        <w:right w:val="none" w:sz="0" w:space="0" w:color="auto"/>
      </w:divBdr>
    </w:div>
    <w:div w:id="1678539869">
      <w:bodyDiv w:val="1"/>
      <w:marLeft w:val="0"/>
      <w:marRight w:val="0"/>
      <w:marTop w:val="0"/>
      <w:marBottom w:val="0"/>
      <w:divBdr>
        <w:top w:val="none" w:sz="0" w:space="0" w:color="auto"/>
        <w:left w:val="none" w:sz="0" w:space="0" w:color="auto"/>
        <w:bottom w:val="none" w:sz="0" w:space="0" w:color="auto"/>
        <w:right w:val="none" w:sz="0" w:space="0" w:color="auto"/>
      </w:divBdr>
    </w:div>
    <w:div w:id="1968123913">
      <w:bodyDiv w:val="1"/>
      <w:marLeft w:val="0"/>
      <w:marRight w:val="0"/>
      <w:marTop w:val="0"/>
      <w:marBottom w:val="0"/>
      <w:divBdr>
        <w:top w:val="none" w:sz="0" w:space="0" w:color="auto"/>
        <w:left w:val="none" w:sz="0" w:space="0" w:color="auto"/>
        <w:bottom w:val="none" w:sz="0" w:space="0" w:color="auto"/>
        <w:right w:val="none" w:sz="0" w:space="0" w:color="auto"/>
      </w:divBdr>
    </w:div>
    <w:div w:id="1995528293">
      <w:bodyDiv w:val="1"/>
      <w:marLeft w:val="0"/>
      <w:marRight w:val="0"/>
      <w:marTop w:val="0"/>
      <w:marBottom w:val="0"/>
      <w:divBdr>
        <w:top w:val="none" w:sz="0" w:space="0" w:color="auto"/>
        <w:left w:val="none" w:sz="0" w:space="0" w:color="auto"/>
        <w:bottom w:val="none" w:sz="0" w:space="0" w:color="auto"/>
        <w:right w:val="none" w:sz="0" w:space="0" w:color="auto"/>
      </w:divBdr>
    </w:div>
    <w:div w:id="2044089228">
      <w:bodyDiv w:val="1"/>
      <w:marLeft w:val="0"/>
      <w:marRight w:val="0"/>
      <w:marTop w:val="0"/>
      <w:marBottom w:val="0"/>
      <w:divBdr>
        <w:top w:val="none" w:sz="0" w:space="0" w:color="auto"/>
        <w:left w:val="none" w:sz="0" w:space="0" w:color="auto"/>
        <w:bottom w:val="none" w:sz="0" w:space="0" w:color="auto"/>
        <w:right w:val="none" w:sz="0" w:space="0" w:color="auto"/>
      </w:divBdr>
    </w:div>
    <w:div w:id="2061200481">
      <w:bodyDiv w:val="1"/>
      <w:marLeft w:val="0"/>
      <w:marRight w:val="0"/>
      <w:marTop w:val="0"/>
      <w:marBottom w:val="0"/>
      <w:divBdr>
        <w:top w:val="none" w:sz="0" w:space="0" w:color="auto"/>
        <w:left w:val="none" w:sz="0" w:space="0" w:color="auto"/>
        <w:bottom w:val="none" w:sz="0" w:space="0" w:color="auto"/>
        <w:right w:val="none" w:sz="0" w:space="0" w:color="auto"/>
      </w:divBdr>
    </w:div>
    <w:div w:id="2078478964">
      <w:bodyDiv w:val="1"/>
      <w:marLeft w:val="0"/>
      <w:marRight w:val="0"/>
      <w:marTop w:val="0"/>
      <w:marBottom w:val="0"/>
      <w:divBdr>
        <w:top w:val="none" w:sz="0" w:space="0" w:color="auto"/>
        <w:left w:val="none" w:sz="0" w:space="0" w:color="auto"/>
        <w:bottom w:val="none" w:sz="0" w:space="0" w:color="auto"/>
        <w:right w:val="none" w:sz="0" w:space="0" w:color="auto"/>
      </w:divBdr>
    </w:div>
    <w:div w:id="2094622211">
      <w:bodyDiv w:val="1"/>
      <w:marLeft w:val="0"/>
      <w:marRight w:val="0"/>
      <w:marTop w:val="0"/>
      <w:marBottom w:val="0"/>
      <w:divBdr>
        <w:top w:val="none" w:sz="0" w:space="0" w:color="auto"/>
        <w:left w:val="none" w:sz="0" w:space="0" w:color="auto"/>
        <w:bottom w:val="none" w:sz="0" w:space="0" w:color="auto"/>
        <w:right w:val="none" w:sz="0" w:space="0" w:color="auto"/>
      </w:divBdr>
    </w:div>
    <w:div w:id="2132548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http://www-sciencedirect-com-s.vpn.hhu.edu.cn:8118/topics/earth-and-planetary-sciences/histopatholog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s.vpn.hhu.edu.cn:8118/topics/earth-and-planetary-sciences/aquatic-environ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ciencedirect-com-s.vpn.hhu.edu.cn:8118/science/article/pii/S004896972032338X" TargetMode="External"/><Relationship Id="rId4" Type="http://schemas.openxmlformats.org/officeDocument/2006/relationships/settings" Target="settings.xml"/><Relationship Id="rId9" Type="http://schemas.openxmlformats.org/officeDocument/2006/relationships/hyperlink" Target="https://www.omicsmart.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20E2E-B27F-477C-8C9D-664D875C6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9144</TotalTime>
  <Pages>17</Pages>
  <Words>33928</Words>
  <Characters>193390</Characters>
  <Application>Microsoft Office Word</Application>
  <DocSecurity>0</DocSecurity>
  <Lines>1611</Lines>
  <Paragraphs>453</Paragraphs>
  <ScaleCrop>false</ScaleCrop>
  <Company/>
  <LinksUpToDate>false</LinksUpToDate>
  <CharactersWithSpaces>226865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25421</dc:creator>
  <cp:keywords>fileTagC:83229708abe83b17dde2f6689f9cd136e54ef379</cp:keywords>
  <cp:lastModifiedBy>JING SONG</cp:lastModifiedBy>
  <cp:revision>518</cp:revision>
  <dcterms:created xsi:type="dcterms:W3CDTF">2023-05-07T12:48:00Z</dcterms:created>
  <dcterms:modified xsi:type="dcterms:W3CDTF">2023-10-04T12:20:00Z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239F3A8AC5964D10A21B9A251F049F4F_13</vt:lpwstr>
  </property>
  <property fmtid="{D5CDD505-2E9C-101B-9397-08002B2CF9AE}" pid="3" name="KSOProductBuildVer">
    <vt:lpwstr>2052-11.1.0.14309</vt:lpwstr>
  </property>
  <property fmtid="{D5CDD505-2E9C-101B-9397-08002B2CF9AE}" pid="4" name="GrammarlyDocumentId">
    <vt:lpwstr>f9ade0c54613ca86dc38d58ec4a79d9d5deda24a31f3a448d177585317f204be</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vt:lpwstr>
  </property>
  <property fmtid="{D5CDD505-2E9C-101B-9397-08002B2CF9AE}" pid="8" name="Mendeley Recent Style Name 1_1">
    <vt:lpwstr>American Psychological Association 7th edition</vt:lpwstr>
  </property>
  <property fmtid="{D5CDD505-2E9C-101B-9397-08002B2CF9AE}" pid="9" name="Mendeley Recent Style Id 2_1">
    <vt:lpwstr>http://www.zotero.org/styles/american-sociological-association</vt:lpwstr>
  </property>
  <property fmtid="{D5CDD505-2E9C-101B-9397-08002B2CF9AE}" pid="10" name="Mendeley Recent Style Name 2_1">
    <vt:lpwstr>American Sociological Association 6th edition</vt:lpwstr>
  </property>
  <property fmtid="{D5CDD505-2E9C-101B-9397-08002B2CF9AE}" pid="11" name="Mendeley Recent Style Id 3_1">
    <vt:lpwstr>http://www.zotero.org/styles/aquaculture</vt:lpwstr>
  </property>
  <property fmtid="{D5CDD505-2E9C-101B-9397-08002B2CF9AE}" pid="12" name="Mendeley Recent Style Name 3_1">
    <vt:lpwstr>Aquaculture</vt:lpwstr>
  </property>
  <property fmtid="{D5CDD505-2E9C-101B-9397-08002B2CF9AE}" pid="13" name="Mendeley Recent Style Id 4_1">
    <vt:lpwstr>http://www.zotero.org/styles/china-national-standard-gb-t-7714-2015-numeric</vt:lpwstr>
  </property>
  <property fmtid="{D5CDD505-2E9C-101B-9397-08002B2CF9AE}" pid="14" name="Mendeley Recent Style Name 4_1">
    <vt:lpwstr>China National Standard GB/T 7714-2015 (numeric, Chinese)</vt:lpwstr>
  </property>
  <property fmtid="{D5CDD505-2E9C-101B-9397-08002B2CF9AE}" pid="15" name="Mendeley Recent Style Id 5_1">
    <vt:lpwstr>http://www.zotero.org/styles/harvard-cite-them-right</vt:lpwstr>
  </property>
  <property fmtid="{D5CDD505-2E9C-101B-9397-08002B2CF9AE}" pid="16" name="Mendeley Recent Style Name 5_1">
    <vt:lpwstr>Cite Them Right 10th edition - Harvard</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http://www.zotero.org/styles/nature</vt:lpwstr>
  </property>
  <property fmtid="{D5CDD505-2E9C-101B-9397-08002B2CF9AE}" pid="22" name="Mendeley Recent Style Name 8_1">
    <vt:lpwstr>Nature</vt:lpwstr>
  </property>
  <property fmtid="{D5CDD505-2E9C-101B-9397-08002B2CF9AE}" pid="23" name="Mendeley Recent Style Id 9_1">
    <vt:lpwstr>http://www.zotero.org/styles/water-research</vt:lpwstr>
  </property>
  <property fmtid="{D5CDD505-2E9C-101B-9397-08002B2CF9AE}" pid="24" name="Mendeley Recent Style Name 9_1">
    <vt:lpwstr>Water Research</vt:lpwstr>
  </property>
  <property fmtid="{D5CDD505-2E9C-101B-9397-08002B2CF9AE}" pid="25" name="Mendeley Document_1">
    <vt:lpwstr>True</vt:lpwstr>
  </property>
  <property fmtid="{D5CDD505-2E9C-101B-9397-08002B2CF9AE}" pid="26" name="Mendeley Unique User Id_1">
    <vt:lpwstr>61ae981d-3141-3ac4-9b4c-ea0bea872e2a</vt:lpwstr>
  </property>
  <property fmtid="{D5CDD505-2E9C-101B-9397-08002B2CF9AE}" pid="27" name="Mendeley Citation Style_1">
    <vt:lpwstr>http://www.zotero.org/styles/aquaculture</vt:lpwstr>
  </property>
</Properties>
</file>